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0F" w:rsidRPr="00B7541C" w:rsidRDefault="00396F0F" w:rsidP="00396F0F">
      <w:pPr>
        <w:widowControl w:val="0"/>
        <w:tabs>
          <w:tab w:val="left" w:pos="5954"/>
        </w:tabs>
        <w:autoSpaceDE w:val="0"/>
        <w:jc w:val="center"/>
        <w:rPr>
          <w:sz w:val="28"/>
          <w:szCs w:val="28"/>
        </w:rPr>
      </w:pPr>
      <w:r w:rsidRPr="00444D99">
        <w:rPr>
          <w:rFonts w:eastAsia="SimSun" w:cs="Mangal"/>
          <w:noProof/>
          <w:kern w:val="3"/>
          <w:lang w:eastAsia="ru-RU"/>
        </w:rPr>
        <w:drawing>
          <wp:inline distT="0" distB="0" distL="0" distR="0" wp14:anchorId="2831D388" wp14:editId="1A8CDCA1">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96F0F" w:rsidRPr="00444D99" w:rsidRDefault="00396F0F" w:rsidP="00396F0F">
      <w:pPr>
        <w:widowControl w:val="0"/>
        <w:autoSpaceDN w:val="0"/>
        <w:jc w:val="center"/>
        <w:textAlignment w:val="baseline"/>
        <w:rPr>
          <w:rFonts w:eastAsia="SimSun" w:cs="Mangal"/>
          <w:kern w:val="3"/>
          <w:lang w:eastAsia="zh-CN" w:bidi="hi-IN"/>
        </w:rPr>
      </w:pPr>
    </w:p>
    <w:p w:rsidR="00396F0F" w:rsidRPr="00444D99" w:rsidRDefault="00396F0F" w:rsidP="00396F0F">
      <w:pPr>
        <w:widowControl w:val="0"/>
        <w:autoSpaceDN w:val="0"/>
        <w:jc w:val="center"/>
        <w:textAlignment w:val="baseline"/>
        <w:rPr>
          <w:rFonts w:ascii="Bookman Old Style" w:eastAsia="SimSun" w:hAnsi="Bookman Old Style" w:cs="Bookman Old Style"/>
          <w:b/>
          <w:kern w:val="3"/>
          <w:lang w:eastAsia="zh-CN" w:bidi="hi-IN"/>
        </w:rPr>
      </w:pPr>
      <w:r w:rsidRPr="00444D99">
        <w:rPr>
          <w:b/>
        </w:rPr>
        <w:t>МУНИЦИПАЛЬНЫЙ СОВЕТ ВНУТРИГОРОДСКОГО МУНИЦИПАЛЬНОГО ОБРАЗОВАНИЯ САНКТ-ПЕТЕРБУРГА МУНИЦИПАЛЬНОГО ОКРУГА ПАРНАС</w:t>
      </w:r>
    </w:p>
    <w:p w:rsidR="00396F0F" w:rsidRPr="00444D99" w:rsidRDefault="00396F0F" w:rsidP="00396F0F">
      <w:pPr>
        <w:widowControl w:val="0"/>
        <w:tabs>
          <w:tab w:val="left" w:pos="255"/>
          <w:tab w:val="center" w:pos="4677"/>
        </w:tabs>
        <w:autoSpaceDN w:val="0"/>
        <w:jc w:val="center"/>
        <w:textAlignment w:val="baseline"/>
        <w:rPr>
          <w:rFonts w:eastAsia="SimSun" w:cs="Mangal"/>
          <w:kern w:val="3"/>
          <w:sz w:val="28"/>
          <w:szCs w:val="28"/>
          <w:lang w:eastAsia="zh-CN" w:bidi="hi-IN"/>
        </w:rPr>
      </w:pPr>
    </w:p>
    <w:p w:rsidR="00396F0F" w:rsidRPr="00444D99" w:rsidRDefault="00396F0F" w:rsidP="00396F0F">
      <w:pPr>
        <w:widowControl w:val="0"/>
        <w:autoSpaceDN w:val="0"/>
        <w:jc w:val="center"/>
        <w:textAlignment w:val="baseline"/>
        <w:rPr>
          <w:rFonts w:eastAsia="SimSun"/>
          <w:b/>
          <w:kern w:val="3"/>
          <w:sz w:val="32"/>
          <w:szCs w:val="32"/>
          <w:lang w:eastAsia="zh-CN" w:bidi="hi-IN"/>
        </w:rPr>
      </w:pPr>
      <w:r w:rsidRPr="00444D99">
        <w:rPr>
          <w:rFonts w:eastAsia="SimSun"/>
          <w:b/>
          <w:kern w:val="3"/>
          <w:sz w:val="32"/>
          <w:szCs w:val="32"/>
          <w:lang w:eastAsia="zh-CN" w:bidi="hi-IN"/>
        </w:rPr>
        <w:t>Р Е Ш Е Н И Е</w:t>
      </w:r>
    </w:p>
    <w:p w:rsidR="00396F0F" w:rsidRPr="00444D99" w:rsidRDefault="00396F0F" w:rsidP="00396F0F">
      <w:pPr>
        <w:widowControl w:val="0"/>
        <w:autoSpaceDN w:val="0"/>
        <w:jc w:val="center"/>
        <w:textAlignment w:val="baseline"/>
        <w:rPr>
          <w:rFonts w:ascii="Bookman Old Style" w:eastAsia="SimSun" w:hAnsi="Bookman Old Style" w:cs="Bookman Old Style"/>
          <w:b/>
          <w:kern w:val="3"/>
          <w:sz w:val="26"/>
          <w:szCs w:val="26"/>
          <w:lang w:eastAsia="zh-CN" w:bidi="hi-IN"/>
        </w:rPr>
      </w:pPr>
    </w:p>
    <w:p w:rsidR="00396F0F" w:rsidRPr="00F40F2E" w:rsidRDefault="003E5090" w:rsidP="00396F0F">
      <w:pPr>
        <w:tabs>
          <w:tab w:val="left" w:pos="255"/>
          <w:tab w:val="center" w:pos="4678"/>
        </w:tabs>
        <w:suppressAutoHyphens w:val="0"/>
        <w:spacing w:line="360" w:lineRule="auto"/>
        <w:rPr>
          <w:sz w:val="28"/>
          <w:szCs w:val="28"/>
          <w:lang w:eastAsia="ru-RU"/>
        </w:rPr>
      </w:pPr>
      <w:r>
        <w:rPr>
          <w:sz w:val="28"/>
          <w:szCs w:val="28"/>
          <w:lang w:eastAsia="ru-RU"/>
        </w:rPr>
        <w:t>10 ноября</w:t>
      </w:r>
      <w:r w:rsidR="00396F0F">
        <w:rPr>
          <w:sz w:val="28"/>
          <w:szCs w:val="28"/>
          <w:lang w:eastAsia="ru-RU"/>
        </w:rPr>
        <w:t xml:space="preserve"> 2016</w:t>
      </w:r>
      <w:r w:rsidR="00396F0F" w:rsidRPr="00F40F2E">
        <w:rPr>
          <w:sz w:val="28"/>
          <w:szCs w:val="28"/>
          <w:lang w:eastAsia="ru-RU"/>
        </w:rPr>
        <w:t xml:space="preserve"> года </w:t>
      </w:r>
      <w:r w:rsidR="00080142">
        <w:rPr>
          <w:sz w:val="28"/>
          <w:szCs w:val="28"/>
          <w:lang w:eastAsia="ru-RU"/>
        </w:rPr>
        <w:t xml:space="preserve">             </w:t>
      </w:r>
      <w:r w:rsidR="00396F0F">
        <w:rPr>
          <w:sz w:val="28"/>
          <w:szCs w:val="28"/>
          <w:lang w:eastAsia="ru-RU"/>
        </w:rPr>
        <w:t xml:space="preserve">    г. Санкт-Петербург          </w:t>
      </w:r>
      <w:r>
        <w:rPr>
          <w:sz w:val="28"/>
          <w:szCs w:val="28"/>
          <w:lang w:eastAsia="ru-RU"/>
        </w:rPr>
        <w:t xml:space="preserve">                            № 21</w:t>
      </w:r>
      <w:r w:rsidR="00080142">
        <w:rPr>
          <w:sz w:val="28"/>
          <w:szCs w:val="28"/>
          <w:lang w:eastAsia="ru-RU"/>
        </w:rPr>
        <w:t>/1</w:t>
      </w:r>
    </w:p>
    <w:p w:rsidR="00396F0F" w:rsidRDefault="00396F0F" w:rsidP="00396F0F">
      <w:pPr>
        <w:suppressAutoHyphens w:val="0"/>
        <w:jc w:val="center"/>
        <w:rPr>
          <w:rFonts w:eastAsiaTheme="minorHAnsi"/>
          <w:b/>
          <w:sz w:val="28"/>
          <w:szCs w:val="28"/>
          <w:lang w:eastAsia="en-US"/>
        </w:rPr>
      </w:pPr>
    </w:p>
    <w:p w:rsidR="00396F0F" w:rsidRDefault="00396F0F" w:rsidP="00396F0F">
      <w:pPr>
        <w:suppressAutoHyphens w:val="0"/>
        <w:jc w:val="center"/>
        <w:rPr>
          <w:rFonts w:eastAsiaTheme="minorHAnsi"/>
          <w:b/>
          <w:sz w:val="28"/>
          <w:szCs w:val="28"/>
          <w:lang w:eastAsia="en-US"/>
        </w:rPr>
      </w:pPr>
      <w:r>
        <w:rPr>
          <w:rFonts w:eastAsiaTheme="minorHAnsi"/>
          <w:b/>
          <w:sz w:val="28"/>
          <w:szCs w:val="28"/>
          <w:lang w:eastAsia="en-US"/>
        </w:rPr>
        <w:t xml:space="preserve">О внесении изменений и дополнений в решение муниципального совета внутригородского муниципального образования Санкт-Петербурга муниципального округа Парнас от 17 декабря 2015 года № 12/1 </w:t>
      </w:r>
    </w:p>
    <w:p w:rsidR="00396F0F" w:rsidRDefault="00396F0F" w:rsidP="00396F0F">
      <w:pPr>
        <w:suppressAutoHyphens w:val="0"/>
        <w:jc w:val="center"/>
        <w:rPr>
          <w:rFonts w:eastAsiaTheme="minorHAnsi"/>
          <w:b/>
          <w:sz w:val="28"/>
          <w:szCs w:val="28"/>
          <w:lang w:eastAsia="en-US"/>
        </w:rPr>
      </w:pPr>
      <w:r>
        <w:rPr>
          <w:rFonts w:eastAsiaTheme="minorHAnsi"/>
          <w:b/>
          <w:sz w:val="28"/>
          <w:szCs w:val="28"/>
          <w:lang w:eastAsia="en-US"/>
        </w:rPr>
        <w:t xml:space="preserve">«Об утверждении бюджета внутригородского муниципального образования Санкт-Петербурга муниципального округа Парнас </w:t>
      </w:r>
    </w:p>
    <w:p w:rsidR="00396F0F" w:rsidRDefault="00396F0F" w:rsidP="00396F0F">
      <w:pPr>
        <w:suppressAutoHyphens w:val="0"/>
        <w:jc w:val="center"/>
        <w:rPr>
          <w:rFonts w:eastAsiaTheme="minorHAnsi"/>
          <w:b/>
          <w:sz w:val="28"/>
          <w:szCs w:val="28"/>
          <w:lang w:eastAsia="en-US"/>
        </w:rPr>
      </w:pPr>
      <w:r>
        <w:rPr>
          <w:rFonts w:eastAsiaTheme="minorHAnsi"/>
          <w:b/>
          <w:sz w:val="28"/>
          <w:szCs w:val="28"/>
          <w:lang w:eastAsia="en-US"/>
        </w:rPr>
        <w:t>на 2016 год и плановый период 2017 - 2018 годов»</w:t>
      </w:r>
    </w:p>
    <w:p w:rsidR="00396F0F" w:rsidRPr="00575D0E" w:rsidRDefault="00396F0F" w:rsidP="00396F0F">
      <w:pPr>
        <w:widowControl w:val="0"/>
        <w:autoSpaceDN w:val="0"/>
        <w:ind w:left="1080"/>
        <w:jc w:val="both"/>
        <w:textAlignment w:val="baseline"/>
        <w:rPr>
          <w:rFonts w:eastAsia="SimSun" w:cs="Mangal"/>
          <w:kern w:val="3"/>
          <w:sz w:val="32"/>
          <w:szCs w:val="32"/>
          <w:lang w:eastAsia="zh-CN" w:bidi="hi-IN"/>
        </w:rPr>
      </w:pPr>
    </w:p>
    <w:p w:rsidR="00396F0F" w:rsidRPr="00575D0E" w:rsidRDefault="00396F0F" w:rsidP="00396F0F">
      <w:pPr>
        <w:widowControl w:val="0"/>
        <w:autoSpaceDN w:val="0"/>
        <w:ind w:left="1080"/>
        <w:jc w:val="both"/>
        <w:textAlignment w:val="baseline"/>
        <w:rPr>
          <w:rFonts w:eastAsia="SimSun" w:cs="Mangal"/>
          <w:kern w:val="3"/>
          <w:sz w:val="32"/>
          <w:szCs w:val="32"/>
          <w:lang w:eastAsia="zh-CN" w:bidi="hi-IN"/>
        </w:rPr>
      </w:pPr>
    </w:p>
    <w:p w:rsidR="00396F0F" w:rsidRDefault="00396F0F" w:rsidP="00396F0F">
      <w:pPr>
        <w:widowControl w:val="0"/>
        <w:autoSpaceDN w:val="0"/>
        <w:ind w:firstLine="709"/>
        <w:jc w:val="both"/>
        <w:textAlignment w:val="baseline"/>
        <w:rPr>
          <w:rFonts w:eastAsia="SimSun" w:cs="Mangal"/>
          <w:kern w:val="3"/>
          <w:sz w:val="28"/>
          <w:szCs w:val="28"/>
          <w:lang w:eastAsia="zh-CN" w:bidi="hi-IN"/>
        </w:rPr>
      </w:pPr>
      <w:r>
        <w:rPr>
          <w:sz w:val="28"/>
          <w:szCs w:val="28"/>
        </w:rPr>
        <w:t>В соответствии с Бюджетным кодексом Российской Федерации и Положением о бюджетном процессе во внутригородском муниципальном образовании Санкт-Петербурга муниципального округа Парнас, утвержденное решением муниципального совета внутригородского муниципального образования Санкт-Петербурга муниципального округа Парнас от 14 декабря 2013 года № 8/3</w:t>
      </w:r>
      <w:r>
        <w:rPr>
          <w:rFonts w:eastAsia="SimSun" w:cs="Mangal"/>
          <w:kern w:val="3"/>
          <w:sz w:val="28"/>
          <w:szCs w:val="28"/>
          <w:lang w:eastAsia="zh-CN" w:bidi="hi-IN"/>
        </w:rPr>
        <w:t xml:space="preserve">, муниципальный совет внутригородского муниципального образования Санкт-Петербурга муниципального округа Парнас </w:t>
      </w:r>
    </w:p>
    <w:p w:rsidR="00396F0F" w:rsidRDefault="00396F0F" w:rsidP="00396F0F">
      <w:pPr>
        <w:widowControl w:val="0"/>
        <w:autoSpaceDN w:val="0"/>
        <w:ind w:firstLine="709"/>
        <w:jc w:val="both"/>
        <w:textAlignment w:val="baseline"/>
        <w:rPr>
          <w:rFonts w:eastAsia="SimSun" w:cs="Mangal"/>
          <w:kern w:val="3"/>
          <w:sz w:val="28"/>
          <w:szCs w:val="28"/>
          <w:lang w:eastAsia="zh-CN" w:bidi="hi-IN"/>
        </w:rPr>
      </w:pPr>
      <w:r>
        <w:rPr>
          <w:rFonts w:eastAsia="SimSun" w:cs="Mangal"/>
          <w:b/>
          <w:bCs/>
          <w:color w:val="000000"/>
          <w:spacing w:val="-18"/>
          <w:kern w:val="3"/>
          <w:sz w:val="28"/>
          <w:szCs w:val="28"/>
          <w:lang w:eastAsia="zh-CN" w:bidi="hi-IN"/>
        </w:rPr>
        <w:t>РЕШИЛ:</w:t>
      </w:r>
    </w:p>
    <w:p w:rsidR="00396F0F" w:rsidRDefault="00396F0F" w:rsidP="00396F0F">
      <w:pPr>
        <w:widowControl w:val="0"/>
        <w:autoSpaceDN w:val="0"/>
        <w:jc w:val="both"/>
        <w:textAlignment w:val="baseline"/>
        <w:rPr>
          <w:rFonts w:eastAsia="SimSun"/>
          <w:kern w:val="3"/>
          <w:sz w:val="28"/>
          <w:szCs w:val="28"/>
          <w:lang w:eastAsia="zh-CN" w:bidi="hi-IN"/>
        </w:rPr>
      </w:pPr>
    </w:p>
    <w:p w:rsidR="00396F0F" w:rsidRDefault="00396F0F" w:rsidP="00847A64">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1. </w:t>
      </w:r>
      <w:r w:rsidR="00847A64">
        <w:rPr>
          <w:rFonts w:eastAsia="SimSun" w:cs="Mangal"/>
          <w:kern w:val="3"/>
          <w:sz w:val="28"/>
          <w:szCs w:val="28"/>
          <w:lang w:eastAsia="zh-CN" w:bidi="hi-IN"/>
        </w:rPr>
        <w:t xml:space="preserve">Приложения № № 3, 5 к Решению </w:t>
      </w:r>
      <w:r>
        <w:rPr>
          <w:rFonts w:eastAsia="SimSun" w:cs="Mangal"/>
          <w:kern w:val="3"/>
          <w:sz w:val="28"/>
          <w:szCs w:val="28"/>
          <w:lang w:eastAsia="zh-CN" w:bidi="hi-IN"/>
        </w:rPr>
        <w:t>муниципального совета внутригородского</w:t>
      </w:r>
      <w:r>
        <w:rPr>
          <w:sz w:val="28"/>
          <w:szCs w:val="28"/>
          <w:lang w:eastAsia="ru-RU"/>
        </w:rPr>
        <w:t xml:space="preserve"> муниципального образования </w:t>
      </w:r>
      <w:r>
        <w:rPr>
          <w:bCs/>
          <w:sz w:val="28"/>
          <w:szCs w:val="28"/>
          <w:lang w:eastAsia="ru-RU"/>
        </w:rPr>
        <w:t xml:space="preserve">Санкт-Петербурга муниципального округа Парнас </w:t>
      </w:r>
      <w:r>
        <w:rPr>
          <w:rFonts w:eastAsia="SimSun" w:cs="Mangal"/>
          <w:kern w:val="3"/>
          <w:sz w:val="28"/>
          <w:szCs w:val="28"/>
          <w:lang w:eastAsia="zh-CN" w:bidi="hi-IN"/>
        </w:rPr>
        <w:t>от 17 декабря 2015 года № 12/1 «</w:t>
      </w:r>
      <w:r>
        <w:rPr>
          <w:kern w:val="3"/>
          <w:sz w:val="28"/>
          <w:szCs w:val="28"/>
          <w:lang w:eastAsia="ru-RU" w:bidi="hi-IN"/>
        </w:rPr>
        <w:t xml:space="preserve">Об утверждении бюджета внутригородского муниципального образования </w:t>
      </w:r>
      <w:r>
        <w:rPr>
          <w:bCs/>
          <w:sz w:val="28"/>
          <w:szCs w:val="28"/>
          <w:lang w:eastAsia="ru-RU"/>
        </w:rPr>
        <w:t>Санкт-Петербурга муниципального округа Парна</w:t>
      </w:r>
      <w:r>
        <w:rPr>
          <w:rFonts w:eastAsia="SimSun" w:cs="Mangal"/>
          <w:kern w:val="3"/>
          <w:sz w:val="28"/>
          <w:szCs w:val="28"/>
          <w:lang w:eastAsia="zh-CN" w:bidi="hi-IN"/>
        </w:rPr>
        <w:t>с на 2016 год и плановый период 2017</w:t>
      </w:r>
      <w:r w:rsidR="00847A64">
        <w:rPr>
          <w:rFonts w:eastAsia="SimSun" w:cs="Mangal"/>
          <w:kern w:val="3"/>
          <w:sz w:val="28"/>
          <w:szCs w:val="28"/>
          <w:lang w:eastAsia="zh-CN" w:bidi="hi-IN"/>
        </w:rPr>
        <w:t xml:space="preserve"> – 2018 годов» </w:t>
      </w:r>
      <w:r>
        <w:rPr>
          <w:rFonts w:eastAsia="SimSun" w:cs="Mangal"/>
          <w:kern w:val="3"/>
          <w:sz w:val="28"/>
          <w:szCs w:val="28"/>
          <w:lang w:eastAsia="zh-CN" w:bidi="hi-IN"/>
        </w:rPr>
        <w:t>изложить в новой редакции, согласно приложению.</w:t>
      </w:r>
    </w:p>
    <w:p w:rsidR="00396F0F" w:rsidRDefault="00396F0F" w:rsidP="00396F0F">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2. </w:t>
      </w:r>
      <w:r>
        <w:rPr>
          <w:bCs/>
          <w:sz w:val="28"/>
          <w:szCs w:val="28"/>
        </w:rPr>
        <w:t>Настоящее решение опубликовать в официальном печатном издании Муниципального Совета и местной Администрации МО МО Парнас «Муниципальное образование Муниципальный округ Парнас»</w:t>
      </w:r>
      <w:r>
        <w:rPr>
          <w:rFonts w:eastAsia="SimSun" w:cs="Mangal"/>
          <w:kern w:val="3"/>
          <w:sz w:val="28"/>
          <w:szCs w:val="28"/>
          <w:lang w:eastAsia="zh-CN" w:bidi="hi-IN"/>
        </w:rPr>
        <w:t>.</w:t>
      </w:r>
    </w:p>
    <w:p w:rsidR="00396F0F" w:rsidRDefault="00396F0F" w:rsidP="00396F0F">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3. Настоящее </w:t>
      </w:r>
      <w:r>
        <w:rPr>
          <w:sz w:val="28"/>
          <w:szCs w:val="28"/>
        </w:rPr>
        <w:t>решение вступает в силу в соответствии с действующим законодательством</w:t>
      </w:r>
      <w:r>
        <w:rPr>
          <w:rFonts w:eastAsia="SimSun" w:cs="Mangal"/>
          <w:kern w:val="3"/>
          <w:sz w:val="28"/>
          <w:szCs w:val="28"/>
          <w:lang w:eastAsia="zh-CN" w:bidi="hi-IN"/>
        </w:rPr>
        <w:t>.</w:t>
      </w:r>
    </w:p>
    <w:p w:rsidR="00396F0F" w:rsidRDefault="00396F0F" w:rsidP="00396F0F">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w:t>
      </w:r>
    </w:p>
    <w:p w:rsidR="00396F0F" w:rsidRDefault="00396F0F" w:rsidP="00396F0F">
      <w:pPr>
        <w:jc w:val="both"/>
        <w:rPr>
          <w:color w:val="000000" w:themeColor="text1"/>
          <w:sz w:val="28"/>
          <w:szCs w:val="28"/>
        </w:rPr>
      </w:pPr>
    </w:p>
    <w:p w:rsidR="00396F0F" w:rsidRDefault="00396F0F" w:rsidP="00396F0F">
      <w:pPr>
        <w:jc w:val="both"/>
        <w:rPr>
          <w:color w:val="000000" w:themeColor="text1"/>
          <w:sz w:val="28"/>
          <w:szCs w:val="28"/>
        </w:rPr>
      </w:pPr>
    </w:p>
    <w:p w:rsidR="00396F0F" w:rsidRDefault="00396F0F" w:rsidP="00396F0F">
      <w:pPr>
        <w:widowControl w:val="0"/>
        <w:autoSpaceDN w:val="0"/>
        <w:jc w:val="center"/>
        <w:textAlignment w:val="baseline"/>
        <w:rPr>
          <w:sz w:val="28"/>
          <w:szCs w:val="28"/>
          <w:lang w:eastAsia="ru-RU"/>
        </w:rPr>
      </w:pPr>
      <w:r>
        <w:rPr>
          <w:color w:val="000000" w:themeColor="text1"/>
          <w:sz w:val="28"/>
          <w:szCs w:val="28"/>
        </w:rPr>
        <w:t>Глава муниципального образования                                                     А.В. Черезов</w:t>
      </w:r>
    </w:p>
    <w:p w:rsidR="003E5090" w:rsidRDefault="003E5090" w:rsidP="000351C9">
      <w:pPr>
        <w:suppressAutoHyphens w:val="0"/>
        <w:rPr>
          <w:color w:val="000000" w:themeColor="text1"/>
          <w:sz w:val="28"/>
          <w:szCs w:val="28"/>
        </w:rPr>
      </w:pPr>
      <w:r>
        <w:rPr>
          <w:color w:val="000000" w:themeColor="text1"/>
          <w:sz w:val="28"/>
          <w:szCs w:val="28"/>
        </w:rPr>
        <w:br w:type="page"/>
      </w:r>
    </w:p>
    <w:p w:rsidR="00060F9B" w:rsidRDefault="00060F9B" w:rsidP="005D734D">
      <w:pPr>
        <w:widowControl w:val="0"/>
        <w:autoSpaceDN w:val="0"/>
        <w:jc w:val="both"/>
        <w:textAlignment w:val="baseline"/>
        <w:rPr>
          <w:color w:val="000000" w:themeColor="text1"/>
          <w:sz w:val="28"/>
          <w:szCs w:val="28"/>
        </w:rPr>
        <w:sectPr w:rsidR="00060F9B" w:rsidSect="000E684A">
          <w:pgSz w:w="11906" w:h="16838"/>
          <w:pgMar w:top="1134" w:right="567" w:bottom="851" w:left="1701" w:header="709" w:footer="709" w:gutter="0"/>
          <w:cols w:space="708"/>
          <w:docGrid w:linePitch="360"/>
        </w:sectPr>
      </w:pPr>
    </w:p>
    <w:tbl>
      <w:tblPr>
        <w:tblStyle w:val="af"/>
        <w:tblW w:w="0" w:type="auto"/>
        <w:tblLook w:val="04A0" w:firstRow="1" w:lastRow="0" w:firstColumn="1" w:lastColumn="0" w:noHBand="0" w:noVBand="1"/>
      </w:tblPr>
      <w:tblGrid>
        <w:gridCol w:w="598"/>
        <w:gridCol w:w="8725"/>
        <w:gridCol w:w="1200"/>
        <w:gridCol w:w="1920"/>
        <w:gridCol w:w="990"/>
        <w:gridCol w:w="1420"/>
      </w:tblGrid>
      <w:tr w:rsidR="00060F9B" w:rsidRPr="00060F9B" w:rsidTr="00060F9B">
        <w:trPr>
          <w:trHeight w:val="435"/>
        </w:trPr>
        <w:tc>
          <w:tcPr>
            <w:tcW w:w="500"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1020" w:type="dxa"/>
            <w:tcBorders>
              <w:top w:val="nil"/>
              <w:left w:val="nil"/>
              <w:bottom w:val="nil"/>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c>
          <w:tcPr>
            <w:tcW w:w="1200" w:type="dxa"/>
            <w:tcBorders>
              <w:top w:val="nil"/>
              <w:left w:val="nil"/>
              <w:bottom w:val="nil"/>
              <w:right w:val="nil"/>
            </w:tcBorders>
            <w:hideMark/>
          </w:tcPr>
          <w:p w:rsidR="00060F9B" w:rsidRPr="00060F9B" w:rsidRDefault="00060F9B" w:rsidP="00060F9B">
            <w:pPr>
              <w:widowControl w:val="0"/>
              <w:autoSpaceDN w:val="0"/>
              <w:jc w:val="right"/>
              <w:textAlignment w:val="baseline"/>
              <w:rPr>
                <w:color w:val="000000" w:themeColor="text1"/>
                <w:sz w:val="20"/>
                <w:szCs w:val="20"/>
              </w:rPr>
            </w:pPr>
          </w:p>
        </w:tc>
        <w:tc>
          <w:tcPr>
            <w:tcW w:w="4220" w:type="dxa"/>
            <w:gridSpan w:val="3"/>
            <w:tcBorders>
              <w:top w:val="nil"/>
              <w:left w:val="nil"/>
              <w:bottom w:val="nil"/>
              <w:right w:val="nil"/>
            </w:tcBorders>
            <w:hideMark/>
          </w:tcPr>
          <w:p w:rsidR="00060F9B" w:rsidRPr="00060F9B" w:rsidRDefault="00060F9B" w:rsidP="00060F9B">
            <w:pPr>
              <w:widowControl w:val="0"/>
              <w:autoSpaceDN w:val="0"/>
              <w:jc w:val="right"/>
              <w:textAlignment w:val="baseline"/>
              <w:rPr>
                <w:color w:val="000000" w:themeColor="text1"/>
                <w:sz w:val="20"/>
                <w:szCs w:val="20"/>
              </w:rPr>
            </w:pPr>
            <w:r w:rsidRPr="00060F9B">
              <w:rPr>
                <w:color w:val="000000" w:themeColor="text1"/>
                <w:sz w:val="20"/>
                <w:szCs w:val="20"/>
              </w:rPr>
              <w:t>Приложение № 3</w:t>
            </w:r>
          </w:p>
        </w:tc>
      </w:tr>
      <w:tr w:rsidR="00060F9B" w:rsidRPr="00060F9B" w:rsidTr="00060F9B">
        <w:trPr>
          <w:trHeight w:val="375"/>
        </w:trPr>
        <w:tc>
          <w:tcPr>
            <w:tcW w:w="500"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1020" w:type="dxa"/>
            <w:tcBorders>
              <w:top w:val="nil"/>
              <w:left w:val="nil"/>
              <w:bottom w:val="nil"/>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c>
          <w:tcPr>
            <w:tcW w:w="5420" w:type="dxa"/>
            <w:gridSpan w:val="4"/>
            <w:tcBorders>
              <w:top w:val="nil"/>
              <w:left w:val="nil"/>
              <w:bottom w:val="nil"/>
              <w:right w:val="nil"/>
            </w:tcBorders>
            <w:hideMark/>
          </w:tcPr>
          <w:p w:rsidR="00060F9B" w:rsidRPr="00060F9B" w:rsidRDefault="00060F9B" w:rsidP="00060F9B">
            <w:pPr>
              <w:widowControl w:val="0"/>
              <w:autoSpaceDN w:val="0"/>
              <w:jc w:val="right"/>
              <w:textAlignment w:val="baseline"/>
              <w:rPr>
                <w:color w:val="000000" w:themeColor="text1"/>
                <w:sz w:val="20"/>
                <w:szCs w:val="20"/>
              </w:rPr>
            </w:pPr>
            <w:r w:rsidRPr="00060F9B">
              <w:rPr>
                <w:color w:val="000000" w:themeColor="text1"/>
                <w:sz w:val="20"/>
                <w:szCs w:val="20"/>
              </w:rPr>
              <w:t>к решению МС МО МО Парнас №12/1 от 17.12.2015 г.</w:t>
            </w:r>
          </w:p>
        </w:tc>
      </w:tr>
      <w:tr w:rsidR="00060F9B" w:rsidRPr="00060F9B" w:rsidTr="00060F9B">
        <w:trPr>
          <w:trHeight w:val="510"/>
        </w:trPr>
        <w:tc>
          <w:tcPr>
            <w:tcW w:w="500"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6440" w:type="dxa"/>
            <w:gridSpan w:val="5"/>
            <w:tcBorders>
              <w:top w:val="nil"/>
              <w:left w:val="nil"/>
              <w:bottom w:val="nil"/>
              <w:right w:val="nil"/>
            </w:tcBorders>
            <w:hideMark/>
          </w:tcPr>
          <w:p w:rsidR="00060F9B" w:rsidRPr="00060F9B" w:rsidRDefault="00060F9B" w:rsidP="00060F9B">
            <w:pPr>
              <w:widowControl w:val="0"/>
              <w:autoSpaceDN w:val="0"/>
              <w:jc w:val="center"/>
              <w:textAlignment w:val="baseline"/>
              <w:rPr>
                <w:b/>
                <w:bCs/>
                <w:color w:val="000000" w:themeColor="text1"/>
                <w:sz w:val="20"/>
                <w:szCs w:val="20"/>
              </w:rPr>
            </w:pPr>
            <w:r w:rsidRPr="00060F9B">
              <w:rPr>
                <w:b/>
                <w:bCs/>
                <w:color w:val="000000" w:themeColor="text1"/>
                <w:sz w:val="20"/>
                <w:szCs w:val="20"/>
              </w:rPr>
              <w:t>РАСХОДЫ МЕСТНОГО БЮДЖЕТА ПО  ВЕДОМСТВЕННОЙ СТРУКТУРЕ РАСХОДОВ МО ПАРНАС НА 2016 ГОД</w:t>
            </w:r>
          </w:p>
        </w:tc>
      </w:tr>
      <w:tr w:rsidR="00060F9B" w:rsidRPr="00060F9B" w:rsidTr="00060F9B">
        <w:trPr>
          <w:trHeight w:val="270"/>
        </w:trPr>
        <w:tc>
          <w:tcPr>
            <w:tcW w:w="50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c>
          <w:tcPr>
            <w:tcW w:w="11020" w:type="dxa"/>
            <w:tcBorders>
              <w:top w:val="nil"/>
              <w:left w:val="nil"/>
              <w:bottom w:val="single" w:sz="4" w:space="0" w:color="auto"/>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c>
          <w:tcPr>
            <w:tcW w:w="120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92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88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42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1125"/>
        </w:trPr>
        <w:tc>
          <w:tcPr>
            <w:tcW w:w="500" w:type="dxa"/>
            <w:tcBorders>
              <w:top w:val="single" w:sz="4" w:space="0" w:color="auto"/>
            </w:tcBorders>
            <w:hideMark/>
          </w:tcPr>
          <w:p w:rsidR="00060F9B" w:rsidRPr="00060F9B" w:rsidRDefault="00060F9B" w:rsidP="00060F9B">
            <w:pPr>
              <w:widowControl w:val="0"/>
              <w:autoSpaceDN w:val="0"/>
              <w:jc w:val="center"/>
              <w:textAlignment w:val="baseline"/>
              <w:rPr>
                <w:color w:val="000000" w:themeColor="text1"/>
                <w:sz w:val="20"/>
                <w:szCs w:val="20"/>
              </w:rPr>
            </w:pPr>
            <w:r w:rsidRPr="00060F9B">
              <w:rPr>
                <w:color w:val="000000" w:themeColor="text1"/>
                <w:sz w:val="20"/>
                <w:szCs w:val="20"/>
              </w:rPr>
              <w:t>№№ п/п</w:t>
            </w:r>
          </w:p>
        </w:tc>
        <w:tc>
          <w:tcPr>
            <w:tcW w:w="11020" w:type="dxa"/>
            <w:tcBorders>
              <w:top w:val="single" w:sz="4" w:space="0" w:color="auto"/>
            </w:tcBorders>
            <w:hideMark/>
          </w:tcPr>
          <w:p w:rsidR="00060F9B" w:rsidRPr="00060F9B" w:rsidRDefault="00060F9B" w:rsidP="00060F9B">
            <w:pPr>
              <w:widowControl w:val="0"/>
              <w:autoSpaceDN w:val="0"/>
              <w:jc w:val="center"/>
              <w:textAlignment w:val="baseline"/>
              <w:rPr>
                <w:color w:val="000000" w:themeColor="text1"/>
                <w:sz w:val="20"/>
                <w:szCs w:val="20"/>
              </w:rPr>
            </w:pPr>
            <w:r w:rsidRPr="00060F9B">
              <w:rPr>
                <w:color w:val="000000" w:themeColor="text1"/>
                <w:sz w:val="20"/>
                <w:szCs w:val="20"/>
              </w:rPr>
              <w:t>Наименование</w:t>
            </w:r>
          </w:p>
        </w:tc>
        <w:tc>
          <w:tcPr>
            <w:tcW w:w="1200" w:type="dxa"/>
            <w:tcBorders>
              <w:top w:val="single" w:sz="4" w:space="0" w:color="auto"/>
            </w:tcBorders>
            <w:hideMark/>
          </w:tcPr>
          <w:p w:rsidR="00060F9B" w:rsidRPr="00060F9B" w:rsidRDefault="00060F9B" w:rsidP="00060F9B">
            <w:pPr>
              <w:widowControl w:val="0"/>
              <w:autoSpaceDN w:val="0"/>
              <w:jc w:val="center"/>
              <w:textAlignment w:val="baseline"/>
              <w:rPr>
                <w:color w:val="000000" w:themeColor="text1"/>
                <w:sz w:val="20"/>
                <w:szCs w:val="20"/>
              </w:rPr>
            </w:pPr>
            <w:r w:rsidRPr="00060F9B">
              <w:rPr>
                <w:color w:val="000000" w:themeColor="text1"/>
                <w:sz w:val="20"/>
                <w:szCs w:val="20"/>
              </w:rPr>
              <w:t>Код раздела, подраздела (ФКР)</w:t>
            </w:r>
          </w:p>
        </w:tc>
        <w:tc>
          <w:tcPr>
            <w:tcW w:w="1920" w:type="dxa"/>
            <w:tcBorders>
              <w:top w:val="single" w:sz="4" w:space="0" w:color="auto"/>
            </w:tcBorders>
            <w:hideMark/>
          </w:tcPr>
          <w:p w:rsidR="00060F9B" w:rsidRPr="00060F9B" w:rsidRDefault="00060F9B" w:rsidP="00060F9B">
            <w:pPr>
              <w:widowControl w:val="0"/>
              <w:autoSpaceDN w:val="0"/>
              <w:jc w:val="center"/>
              <w:textAlignment w:val="baseline"/>
              <w:rPr>
                <w:color w:val="000000" w:themeColor="text1"/>
                <w:sz w:val="20"/>
                <w:szCs w:val="20"/>
              </w:rPr>
            </w:pPr>
            <w:r w:rsidRPr="00060F9B">
              <w:rPr>
                <w:color w:val="000000" w:themeColor="text1"/>
                <w:sz w:val="20"/>
                <w:szCs w:val="20"/>
              </w:rPr>
              <w:t>Код целевой статьи (КЦСР)</w:t>
            </w:r>
          </w:p>
        </w:tc>
        <w:tc>
          <w:tcPr>
            <w:tcW w:w="880" w:type="dxa"/>
            <w:tcBorders>
              <w:top w:val="single" w:sz="4" w:space="0" w:color="auto"/>
            </w:tcBorders>
            <w:hideMark/>
          </w:tcPr>
          <w:p w:rsidR="00060F9B" w:rsidRPr="00060F9B" w:rsidRDefault="00060F9B" w:rsidP="00060F9B">
            <w:pPr>
              <w:widowControl w:val="0"/>
              <w:autoSpaceDN w:val="0"/>
              <w:jc w:val="center"/>
              <w:textAlignment w:val="baseline"/>
              <w:rPr>
                <w:color w:val="000000" w:themeColor="text1"/>
                <w:sz w:val="20"/>
                <w:szCs w:val="20"/>
              </w:rPr>
            </w:pPr>
            <w:r w:rsidRPr="00060F9B">
              <w:rPr>
                <w:color w:val="000000" w:themeColor="text1"/>
                <w:sz w:val="20"/>
                <w:szCs w:val="20"/>
              </w:rPr>
              <w:t>Код вида расходов (КВР)</w:t>
            </w:r>
          </w:p>
        </w:tc>
        <w:tc>
          <w:tcPr>
            <w:tcW w:w="1420" w:type="dxa"/>
            <w:tcBorders>
              <w:top w:val="single" w:sz="4" w:space="0" w:color="auto"/>
            </w:tcBorders>
            <w:hideMark/>
          </w:tcPr>
          <w:p w:rsidR="00060F9B" w:rsidRPr="00060F9B" w:rsidRDefault="00060F9B" w:rsidP="00060F9B">
            <w:pPr>
              <w:widowControl w:val="0"/>
              <w:autoSpaceDN w:val="0"/>
              <w:jc w:val="center"/>
              <w:textAlignment w:val="baseline"/>
              <w:rPr>
                <w:color w:val="000000" w:themeColor="text1"/>
                <w:sz w:val="20"/>
                <w:szCs w:val="20"/>
              </w:rPr>
            </w:pPr>
            <w:r w:rsidRPr="00060F9B">
              <w:rPr>
                <w:color w:val="000000" w:themeColor="text1"/>
                <w:sz w:val="20"/>
                <w:szCs w:val="20"/>
              </w:rPr>
              <w:t>2016  год  (тыс.руб.)</w:t>
            </w:r>
          </w:p>
        </w:tc>
      </w:tr>
      <w:tr w:rsidR="00060F9B" w:rsidRPr="00060F9B" w:rsidTr="00060F9B">
        <w:trPr>
          <w:trHeight w:val="37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Муниципальный совет внутригородского муниципального образования Санкт-Петербурга муниципального округа Парнас (978)</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6 515,83</w:t>
            </w:r>
          </w:p>
        </w:tc>
      </w:tr>
      <w:tr w:rsidR="00060F9B" w:rsidRPr="00060F9B" w:rsidTr="00060F9B">
        <w:trPr>
          <w:trHeight w:val="197"/>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Общегосударственные вопросы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4 775,83</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0102</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1 215,67  </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Руководство и управление в сфере установленных функций органов местного самоуправления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00200 00000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1215,67</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Содержание и обеспечение деятельности главы муниципального образования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00200 00010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1215,67</w:t>
            </w:r>
          </w:p>
        </w:tc>
      </w:tr>
      <w:tr w:rsidR="00060F9B" w:rsidRPr="00060F9B" w:rsidTr="00060F9B">
        <w:trPr>
          <w:trHeight w:val="54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00200 00010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1203,67</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00200 00010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12,00</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3 560,16  </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Руководство и управление в сфере установленных функций органов местного самоуправления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00200 00000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1 309,60  </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Содержание и обеспечение деятельности представительного органа муниципального образования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1 309,60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Содержание  выборных должностных лиц местного самоуправления, осуществляющих свои полномочия на постоянной основе </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00200 00021</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1 028,80  </w:t>
            </w:r>
          </w:p>
        </w:tc>
      </w:tr>
      <w:tr w:rsidR="00060F9B" w:rsidRPr="00060F9B" w:rsidTr="00060F9B">
        <w:trPr>
          <w:trHeight w:val="46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00200 00021</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1028,80</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13</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Компенсация депутатам муниципального совета, осуществляющим свои полномочия на непостоянной основе</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00200 00022</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280,80</w:t>
            </w:r>
          </w:p>
        </w:tc>
      </w:tr>
      <w:tr w:rsidR="00060F9B" w:rsidRPr="00060F9B" w:rsidTr="00060F9B">
        <w:trPr>
          <w:trHeight w:val="5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14</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00200 00022</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280,80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15</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Содержание и обеспечение деятельности аппарата представительного органа муниципального образования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00200 00023</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2 250,56  </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16</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00200 00023</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1075,96</w:t>
            </w:r>
          </w:p>
        </w:tc>
      </w:tr>
      <w:tr w:rsidR="00060F9B" w:rsidRPr="00060F9B" w:rsidTr="00060F9B">
        <w:trPr>
          <w:trHeight w:val="33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17</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00200 00023</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1169,60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18</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00200 00023</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общегосударственные вопросы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1740,00</w:t>
            </w:r>
          </w:p>
        </w:tc>
      </w:tr>
      <w:tr w:rsidR="00060F9B" w:rsidRPr="00060F9B" w:rsidTr="00060F9B">
        <w:trPr>
          <w:trHeight w:val="52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Создание  и осуществление финансового обеспечения деятельности муниципального казенного учреждения "Муниципальная информационная служба"</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33000 00460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1740,00</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33000 00460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1730,00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33000 00460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10,00</w:t>
            </w:r>
          </w:p>
        </w:tc>
      </w:tr>
      <w:tr w:rsidR="00060F9B" w:rsidRPr="00060F9B" w:rsidTr="00060F9B">
        <w:trPr>
          <w:trHeight w:val="52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Местная администрация внутригородского муниципального образования Санкт-Петербурга муниципального округа Парнас (916)</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96756,86</w:t>
            </w:r>
          </w:p>
        </w:tc>
      </w:tr>
      <w:tr w:rsidR="00060F9B" w:rsidRPr="00060F9B" w:rsidTr="00060F9B">
        <w:trPr>
          <w:trHeight w:val="36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Общегосударственные вопросы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21224,54</w:t>
            </w:r>
          </w:p>
        </w:tc>
      </w:tr>
      <w:tr w:rsidR="00060F9B" w:rsidRPr="00060F9B" w:rsidTr="00060F9B">
        <w:trPr>
          <w:trHeight w:val="513"/>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19 649,22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Руководство и управление в сфере установленных функций органов местного самоуправления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00200 00000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19 643,22  </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Содержание и обеспечение деятельности главы местной администрации</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00200 00031</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1203,67</w:t>
            </w:r>
          </w:p>
        </w:tc>
      </w:tr>
      <w:tr w:rsidR="00060F9B" w:rsidRPr="00060F9B" w:rsidTr="00060F9B">
        <w:trPr>
          <w:trHeight w:val="49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00200 00031</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1203,67</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Содержание и обеспечение деятельности местной администрации </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00200 00032</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15026,95</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00200 00032</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12306,07</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00200 00032</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2705,88</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00200 00032</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15,00</w:t>
            </w:r>
          </w:p>
        </w:tc>
      </w:tr>
      <w:tr w:rsidR="00060F9B" w:rsidRPr="00060F9B" w:rsidTr="00060F9B">
        <w:trPr>
          <w:trHeight w:val="57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G0850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3412,60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G0850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3253,00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13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G0850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159,60</w:t>
            </w:r>
          </w:p>
        </w:tc>
      </w:tr>
      <w:tr w:rsidR="00060F9B" w:rsidRPr="00060F9B" w:rsidTr="00060F9B">
        <w:trPr>
          <w:trHeight w:val="52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09200  G0100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6,00  </w:t>
            </w:r>
          </w:p>
        </w:tc>
      </w:tr>
      <w:tr w:rsidR="00060F9B" w:rsidRPr="00060F9B" w:rsidTr="00060F9B">
        <w:trPr>
          <w:trHeight w:val="33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15</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09200  G0100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6,00</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16</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Резервные фонды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0111</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17</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Резервный фонд местной администрации </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0111</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07000 00060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18</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0111</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07000 00060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10,00  </w:t>
            </w:r>
          </w:p>
        </w:tc>
      </w:tr>
      <w:tr w:rsidR="00060F9B" w:rsidRPr="00060F9B" w:rsidTr="00060F9B">
        <w:trPr>
          <w:trHeight w:val="27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19</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общегосударственные вопросы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1 565,32  </w:t>
            </w:r>
          </w:p>
        </w:tc>
      </w:tr>
      <w:tr w:rsidR="00060F9B" w:rsidRPr="00060F9B" w:rsidTr="00060F9B">
        <w:trPr>
          <w:trHeight w:val="42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Формирование архивных фондов органов местного самоуправления, муниципальных предприятий и учреждений</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09000 00070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29,00  </w:t>
            </w:r>
          </w:p>
        </w:tc>
      </w:tr>
      <w:tr w:rsidR="00060F9B" w:rsidRPr="00060F9B" w:rsidTr="00060F9B">
        <w:trPr>
          <w:trHeight w:val="34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09000 00070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29,00</w:t>
            </w:r>
          </w:p>
        </w:tc>
      </w:tr>
      <w:tr w:rsidR="00060F9B" w:rsidRPr="00060F9B" w:rsidTr="00060F9B">
        <w:trPr>
          <w:trHeight w:val="52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09200 00440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72,00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09200 00440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72,00</w:t>
            </w:r>
          </w:p>
        </w:tc>
      </w:tr>
      <w:tr w:rsidR="00060F9B" w:rsidRPr="00060F9B" w:rsidTr="00060F9B">
        <w:trPr>
          <w:trHeight w:val="84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33000 00470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1264,32</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25</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33000 00470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1264,32</w:t>
            </w:r>
          </w:p>
        </w:tc>
      </w:tr>
      <w:tr w:rsidR="00060F9B" w:rsidRPr="00060F9B" w:rsidTr="00060F9B">
        <w:trPr>
          <w:trHeight w:val="67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26</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79500 00520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r>
      <w:tr w:rsidR="00060F9B" w:rsidRPr="00060F9B" w:rsidTr="00060F9B">
        <w:trPr>
          <w:trHeight w:val="37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27</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79500 00520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200,00  </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Национальная безопасность и правоохранительная деятельность</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0300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300,00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0309</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300,00  </w:t>
            </w:r>
          </w:p>
        </w:tc>
      </w:tr>
      <w:tr w:rsidR="00060F9B" w:rsidRPr="00060F9B" w:rsidTr="00060F9B">
        <w:trPr>
          <w:trHeight w:val="93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содействию в  установленном порядке сбора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обеспечения своевременного оповещения и информировании об угрозе возникновения или о возникновении чрезвычайной ситуации</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0309</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21900 00080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70,00  </w:t>
            </w:r>
          </w:p>
        </w:tc>
      </w:tr>
      <w:tr w:rsidR="00060F9B" w:rsidRPr="00060F9B" w:rsidTr="00060F9B">
        <w:trPr>
          <w:trHeight w:val="37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0309</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21900 00080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70,00</w:t>
            </w:r>
          </w:p>
        </w:tc>
      </w:tr>
      <w:tr w:rsidR="00060F9B" w:rsidRPr="00060F9B" w:rsidTr="00060F9B">
        <w:trPr>
          <w:trHeight w:val="9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34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0309</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21900 00090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230,00  </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35</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0309</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21900 00090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230,00</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36</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Национальная экономика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0400</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195,00</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37</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Общеэкономические вопросы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0401</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195,00</w:t>
            </w:r>
          </w:p>
        </w:tc>
      </w:tr>
      <w:tr w:rsidR="00060F9B" w:rsidRPr="00060F9B" w:rsidTr="00060F9B">
        <w:trPr>
          <w:trHeight w:val="51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38</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0401</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51000 00100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195,00</w:t>
            </w:r>
          </w:p>
        </w:tc>
      </w:tr>
      <w:tr w:rsidR="00060F9B" w:rsidRPr="00060F9B" w:rsidTr="00060F9B">
        <w:trPr>
          <w:trHeight w:val="28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39</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0401</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51000 00100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195,00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Жилищно-коммунальное хозяйство</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0500</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32 122,94</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Благоустройство</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0503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32 122,94  </w:t>
            </w:r>
          </w:p>
        </w:tc>
      </w:tr>
      <w:tr w:rsidR="00060F9B" w:rsidRPr="00060F9B" w:rsidTr="00060F9B">
        <w:trPr>
          <w:trHeight w:val="51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0503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60000 00130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31 822,94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0503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60000 00130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31 822,94  </w:t>
            </w:r>
          </w:p>
        </w:tc>
      </w:tr>
      <w:tr w:rsidR="00060F9B" w:rsidRPr="00060F9B" w:rsidTr="00060F9B">
        <w:trPr>
          <w:trHeight w:val="5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0503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79500 00490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300,00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0503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79500 00490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300,00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46</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Охрана окружающей среды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47</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вопросы в области охраны окружающей среды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0605</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r>
      <w:tr w:rsidR="00060F9B" w:rsidRPr="00060F9B" w:rsidTr="00060F9B">
        <w:trPr>
          <w:trHeight w:val="54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48</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0605</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41000 00170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200,00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49</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0605</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41000 00170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200,00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Образование</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565,50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Профессиональная подготовка, переподготовка и повышение квалификации</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0705</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95,00  </w:t>
            </w:r>
          </w:p>
        </w:tc>
      </w:tr>
      <w:tr w:rsidR="00060F9B" w:rsidRPr="00060F9B" w:rsidTr="00060F9B">
        <w:trPr>
          <w:trHeight w:val="99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0705</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42800 00180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95,00  </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0705</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42800 00180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95,00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Молодежная политика и оздоровление детей</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0707</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470,50  </w:t>
            </w:r>
          </w:p>
        </w:tc>
      </w:tr>
      <w:tr w:rsidR="00060F9B" w:rsidRPr="00060F9B" w:rsidTr="00060F9B">
        <w:trPr>
          <w:trHeight w:val="551"/>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55</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0707</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43100 00190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470,50  </w:t>
            </w:r>
          </w:p>
        </w:tc>
      </w:tr>
      <w:tr w:rsidR="00060F9B" w:rsidRPr="00060F9B" w:rsidTr="00060F9B">
        <w:trPr>
          <w:trHeight w:val="24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56</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0707</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43100 00190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470,50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57</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Культура, кинематография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0800</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20 685,18  </w:t>
            </w:r>
          </w:p>
        </w:tc>
      </w:tr>
      <w:tr w:rsidR="00060F9B" w:rsidRPr="00060F9B" w:rsidTr="00060F9B">
        <w:trPr>
          <w:trHeight w:val="36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58</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Культура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0801</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19 354,38  </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59</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0801</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45000 00200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19 354,38  </w:t>
            </w:r>
          </w:p>
        </w:tc>
      </w:tr>
      <w:tr w:rsidR="00060F9B" w:rsidRPr="00060F9B" w:rsidTr="00060F9B">
        <w:trPr>
          <w:trHeight w:val="33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0801</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45000 00200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19354,38</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вопросы в области  культуры, кинематографии</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1330,80</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0804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45000 00560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1 330,80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0804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45000 00560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1 330,80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Социальная политика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1000</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15 719,70  </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65</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Социальное обеспечение населения</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480,50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66</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Социальная помощь</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480,50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67</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предоставление доплат к пенсии лицам, замещавшим муниципальные должности и должности муниципальной службы</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1003</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50500 00230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480,50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68</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Социальное обеспечение и иные выплаты населению населения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1003</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50500 00230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480,50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69</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Охрана семьи и детства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15239,20</w:t>
            </w:r>
          </w:p>
        </w:tc>
      </w:tr>
      <w:tr w:rsidR="00060F9B" w:rsidRPr="00060F9B" w:rsidTr="00060F9B">
        <w:trPr>
          <w:trHeight w:val="49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Санкт-Петербурга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51100 G0860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10132,10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71</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Социальное обеспечение и иные выплаты населению населения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51100 G0860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10132,10</w:t>
            </w:r>
          </w:p>
        </w:tc>
      </w:tr>
      <w:tr w:rsidR="00060F9B" w:rsidRPr="00060F9B" w:rsidTr="00060F9B">
        <w:trPr>
          <w:trHeight w:val="5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1004</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51100 G0870</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5107,10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73</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Социальное обеспечение и иные выплаты населению населения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1004</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51100 G0870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5107,10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Физическая культура и спорт</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1100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744,00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75</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Массовый спорт</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1102</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744,00</w:t>
            </w:r>
          </w:p>
        </w:tc>
      </w:tr>
      <w:tr w:rsidR="00060F9B" w:rsidRPr="00060F9B" w:rsidTr="00060F9B">
        <w:trPr>
          <w:trHeight w:val="96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76</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51200 00240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744,00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77</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51200 00240</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744,00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78</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Средства массовой информации</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1200</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5000,00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Периодическая печать и издательства</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5000,00</w:t>
            </w:r>
          </w:p>
        </w:tc>
      </w:tr>
      <w:tr w:rsidR="00060F9B" w:rsidRPr="00060F9B" w:rsidTr="00060F9B">
        <w:trPr>
          <w:trHeight w:val="12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5000,00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Периодические издания, учрежденные представительными органами МО</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45700 00251</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3700,00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82</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45700 00251</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3700,00</w:t>
            </w:r>
          </w:p>
        </w:tc>
      </w:tr>
      <w:tr w:rsidR="00060F9B" w:rsidRPr="00060F9B" w:rsidTr="00060F9B">
        <w:trPr>
          <w:trHeight w:val="30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83</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Периодические издания, учрежденные исполнительными органами МО</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45700 00252</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1300,00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84</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1202</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45700 00252</w:t>
            </w:r>
          </w:p>
        </w:tc>
        <w:tc>
          <w:tcPr>
            <w:tcW w:w="88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1300,00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Избирательная комиссия внутригородского муниципального образования Санкт-Петербурга муниципального округа Парнас  (967)</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Обеспечение проведения выборов и референдумов (967)</w:t>
            </w:r>
          </w:p>
        </w:tc>
        <w:tc>
          <w:tcPr>
            <w:tcW w:w="120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9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r>
      <w:tr w:rsidR="00060F9B" w:rsidRPr="00060F9B" w:rsidTr="00060F9B">
        <w:trPr>
          <w:trHeight w:val="25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Проведение выборов и референдумов</w:t>
            </w:r>
          </w:p>
        </w:tc>
        <w:tc>
          <w:tcPr>
            <w:tcW w:w="120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20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02000 00050</w:t>
            </w:r>
          </w:p>
        </w:tc>
        <w:tc>
          <w:tcPr>
            <w:tcW w:w="88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r>
      <w:tr w:rsidR="00060F9B" w:rsidRPr="00060F9B" w:rsidTr="00060F9B">
        <w:trPr>
          <w:trHeight w:val="48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0107</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02000 00050</w:t>
            </w:r>
          </w:p>
        </w:tc>
        <w:tc>
          <w:tcPr>
            <w:tcW w:w="88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2140,60</w:t>
            </w:r>
          </w:p>
        </w:tc>
      </w:tr>
      <w:tr w:rsidR="00060F9B" w:rsidRPr="00060F9B" w:rsidTr="00060F9B">
        <w:trPr>
          <w:trHeight w:val="270"/>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w:t>
            </w:r>
          </w:p>
        </w:tc>
        <w:tc>
          <w:tcPr>
            <w:tcW w:w="110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2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0107</w:t>
            </w:r>
          </w:p>
        </w:tc>
        <w:tc>
          <w:tcPr>
            <w:tcW w:w="192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02000 00050</w:t>
            </w:r>
          </w:p>
        </w:tc>
        <w:tc>
          <w:tcPr>
            <w:tcW w:w="88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42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0,00</w:t>
            </w:r>
          </w:p>
        </w:tc>
      </w:tr>
      <w:tr w:rsidR="00060F9B" w:rsidRPr="00060F9B" w:rsidTr="00060F9B">
        <w:trPr>
          <w:trHeight w:val="315"/>
        </w:trPr>
        <w:tc>
          <w:tcPr>
            <w:tcW w:w="50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10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                                                      Итого:</w:t>
            </w:r>
          </w:p>
        </w:tc>
        <w:tc>
          <w:tcPr>
            <w:tcW w:w="12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9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88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42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105 413,29  </w:t>
            </w:r>
          </w:p>
        </w:tc>
      </w:tr>
    </w:tbl>
    <w:p w:rsidR="00060F9B" w:rsidRDefault="00060F9B" w:rsidP="00060F9B">
      <w:pPr>
        <w:widowControl w:val="0"/>
        <w:autoSpaceDN w:val="0"/>
        <w:jc w:val="both"/>
        <w:textAlignment w:val="baseline"/>
        <w:rPr>
          <w:color w:val="000000" w:themeColor="text1"/>
          <w:sz w:val="28"/>
          <w:szCs w:val="28"/>
        </w:rPr>
      </w:pPr>
      <w:r>
        <w:rPr>
          <w:color w:val="000000" w:themeColor="text1"/>
          <w:sz w:val="28"/>
          <w:szCs w:val="28"/>
        </w:rPr>
        <w:br w:type="page"/>
      </w:r>
    </w:p>
    <w:tbl>
      <w:tblPr>
        <w:tblStyle w:val="af"/>
        <w:tblW w:w="0" w:type="auto"/>
        <w:tblLook w:val="04A0" w:firstRow="1" w:lastRow="0" w:firstColumn="1" w:lastColumn="0" w:noHBand="0" w:noVBand="1"/>
      </w:tblPr>
      <w:tblGrid>
        <w:gridCol w:w="598"/>
        <w:gridCol w:w="7165"/>
        <w:gridCol w:w="1540"/>
        <w:gridCol w:w="1700"/>
        <w:gridCol w:w="1360"/>
        <w:gridCol w:w="1360"/>
        <w:gridCol w:w="1120"/>
      </w:tblGrid>
      <w:tr w:rsidR="00060F9B" w:rsidRPr="00060F9B" w:rsidTr="00060F9B">
        <w:trPr>
          <w:trHeight w:val="435"/>
        </w:trPr>
        <w:tc>
          <w:tcPr>
            <w:tcW w:w="598"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bookmarkStart w:id="0" w:name="RANGE!A1:F109"/>
            <w:bookmarkEnd w:id="0"/>
          </w:p>
        </w:tc>
        <w:tc>
          <w:tcPr>
            <w:tcW w:w="7165" w:type="dxa"/>
            <w:tcBorders>
              <w:top w:val="nil"/>
              <w:left w:val="nil"/>
              <w:bottom w:val="nil"/>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c>
          <w:tcPr>
            <w:tcW w:w="7080" w:type="dxa"/>
            <w:gridSpan w:val="5"/>
            <w:vMerge w:val="restart"/>
            <w:tcBorders>
              <w:top w:val="nil"/>
              <w:left w:val="nil"/>
              <w:bottom w:val="nil"/>
              <w:right w:val="nil"/>
            </w:tcBorders>
            <w:hideMark/>
          </w:tcPr>
          <w:p w:rsidR="00060F9B" w:rsidRPr="00060F9B" w:rsidRDefault="00060F9B" w:rsidP="00060F9B">
            <w:pPr>
              <w:widowControl w:val="0"/>
              <w:autoSpaceDN w:val="0"/>
              <w:jc w:val="right"/>
              <w:textAlignment w:val="baseline"/>
              <w:rPr>
                <w:color w:val="000000" w:themeColor="text1"/>
                <w:sz w:val="20"/>
                <w:szCs w:val="20"/>
              </w:rPr>
            </w:pPr>
            <w:r w:rsidRPr="00060F9B">
              <w:rPr>
                <w:color w:val="000000" w:themeColor="text1"/>
                <w:sz w:val="20"/>
                <w:szCs w:val="20"/>
              </w:rPr>
              <w:t>Приложение № 5</w:t>
            </w:r>
          </w:p>
          <w:p w:rsidR="00060F9B" w:rsidRPr="00060F9B" w:rsidRDefault="00060F9B" w:rsidP="00060F9B">
            <w:pPr>
              <w:widowControl w:val="0"/>
              <w:autoSpaceDN w:val="0"/>
              <w:jc w:val="right"/>
              <w:textAlignment w:val="baseline"/>
              <w:rPr>
                <w:color w:val="000000" w:themeColor="text1"/>
                <w:sz w:val="20"/>
                <w:szCs w:val="20"/>
              </w:rPr>
            </w:pPr>
            <w:r w:rsidRPr="00060F9B">
              <w:rPr>
                <w:color w:val="000000" w:themeColor="text1"/>
                <w:sz w:val="20"/>
                <w:szCs w:val="20"/>
              </w:rPr>
              <w:t>к решению МС МО МО Парнас №12/1 от 17.12.2015 г.</w:t>
            </w:r>
          </w:p>
        </w:tc>
      </w:tr>
      <w:tr w:rsidR="00060F9B" w:rsidRPr="00060F9B" w:rsidTr="00060F9B">
        <w:trPr>
          <w:trHeight w:val="255"/>
        </w:trPr>
        <w:tc>
          <w:tcPr>
            <w:tcW w:w="598"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7165" w:type="dxa"/>
            <w:tcBorders>
              <w:top w:val="nil"/>
              <w:left w:val="nil"/>
              <w:bottom w:val="nil"/>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c>
          <w:tcPr>
            <w:tcW w:w="7080" w:type="dxa"/>
            <w:gridSpan w:val="5"/>
            <w:vMerge/>
            <w:tcBorders>
              <w:top w:val="nil"/>
              <w:left w:val="nil"/>
              <w:bottom w:val="nil"/>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510"/>
        </w:trPr>
        <w:tc>
          <w:tcPr>
            <w:tcW w:w="598"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3125" w:type="dxa"/>
            <w:gridSpan w:val="5"/>
            <w:tcBorders>
              <w:top w:val="nil"/>
              <w:left w:val="nil"/>
              <w:bottom w:val="nil"/>
              <w:right w:val="nil"/>
            </w:tcBorders>
            <w:hideMark/>
          </w:tcPr>
          <w:p w:rsidR="00060F9B" w:rsidRPr="00060F9B" w:rsidRDefault="00060F9B" w:rsidP="00060F9B">
            <w:pPr>
              <w:widowControl w:val="0"/>
              <w:autoSpaceDN w:val="0"/>
              <w:jc w:val="center"/>
              <w:textAlignment w:val="baseline"/>
              <w:rPr>
                <w:b/>
                <w:bCs/>
                <w:color w:val="000000" w:themeColor="text1"/>
                <w:sz w:val="20"/>
                <w:szCs w:val="20"/>
              </w:rPr>
            </w:pPr>
            <w:r w:rsidRPr="00060F9B">
              <w:rPr>
                <w:b/>
                <w:bCs/>
                <w:color w:val="000000" w:themeColor="text1"/>
                <w:sz w:val="20"/>
                <w:szCs w:val="20"/>
              </w:rPr>
              <w:t>Распределение бюджетных ассигнований бюджета внутригородского муниципального образования Санкт-Петербурга муниципального округа Парнас на 2016 год</w:t>
            </w:r>
          </w:p>
        </w:tc>
        <w:tc>
          <w:tcPr>
            <w:tcW w:w="1120" w:type="dxa"/>
            <w:tcBorders>
              <w:top w:val="nil"/>
              <w:left w:val="nil"/>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70"/>
        </w:trPr>
        <w:tc>
          <w:tcPr>
            <w:tcW w:w="598"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7165" w:type="dxa"/>
            <w:tcBorders>
              <w:top w:val="nil"/>
              <w:left w:val="nil"/>
              <w:bottom w:val="single" w:sz="4" w:space="0" w:color="auto"/>
              <w:right w:val="nil"/>
            </w:tcBorders>
            <w:hideMark/>
          </w:tcPr>
          <w:p w:rsidR="00060F9B" w:rsidRPr="00060F9B" w:rsidRDefault="00060F9B" w:rsidP="00060F9B">
            <w:pPr>
              <w:widowControl w:val="0"/>
              <w:autoSpaceDN w:val="0"/>
              <w:jc w:val="both"/>
              <w:textAlignment w:val="baseline"/>
              <w:rPr>
                <w:color w:val="000000" w:themeColor="text1"/>
                <w:sz w:val="20"/>
                <w:szCs w:val="20"/>
              </w:rPr>
            </w:pPr>
          </w:p>
        </w:tc>
        <w:tc>
          <w:tcPr>
            <w:tcW w:w="154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70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36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360" w:type="dxa"/>
            <w:tcBorders>
              <w:top w:val="nil"/>
              <w:left w:val="nil"/>
              <w:bottom w:val="single" w:sz="4" w:space="0" w:color="auto"/>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c>
          <w:tcPr>
            <w:tcW w:w="1120" w:type="dxa"/>
            <w:tcBorders>
              <w:top w:val="nil"/>
              <w:left w:val="nil"/>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780"/>
        </w:trPr>
        <w:tc>
          <w:tcPr>
            <w:tcW w:w="598" w:type="dxa"/>
            <w:tcBorders>
              <w:top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п/п</w:t>
            </w:r>
          </w:p>
        </w:tc>
        <w:tc>
          <w:tcPr>
            <w:tcW w:w="7165" w:type="dxa"/>
            <w:tcBorders>
              <w:top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Наименование</w:t>
            </w:r>
          </w:p>
        </w:tc>
        <w:tc>
          <w:tcPr>
            <w:tcW w:w="1540" w:type="dxa"/>
            <w:tcBorders>
              <w:top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Код раздела, подраздела (ФКР)</w:t>
            </w:r>
          </w:p>
        </w:tc>
        <w:tc>
          <w:tcPr>
            <w:tcW w:w="1700" w:type="dxa"/>
            <w:tcBorders>
              <w:top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Код целевой статьи (КЦСР)</w:t>
            </w:r>
          </w:p>
        </w:tc>
        <w:tc>
          <w:tcPr>
            <w:tcW w:w="1360" w:type="dxa"/>
            <w:tcBorders>
              <w:top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Код вида расходов (КВР)</w:t>
            </w:r>
          </w:p>
        </w:tc>
        <w:tc>
          <w:tcPr>
            <w:tcW w:w="1360" w:type="dxa"/>
            <w:tcBorders>
              <w:top w:val="single" w:sz="4" w:space="0" w:color="auto"/>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2016 год      (тыс.руб.)</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7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Общегосударственные вопросы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29 881,0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4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1 215,67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4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Руководство и управление в сфере установленных функций органов местного самоуправления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00200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1 215,67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8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Глава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00200  00010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1215,67</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8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0102</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00200  00010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1203,67</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3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0102</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00200  00010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51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3 560,16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6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Руководство и управление в сфере установленных функций органов местного самоуправления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00200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1 309,60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6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Депутаты представительного органа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00200  00021</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1 309,60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4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Депутаты, осуществляющие свою деятельность на постоянной основе</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00200  00021</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1 028,80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5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00200  00021</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1028,80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4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Компенсация депутатам, осуществляющие свои полномочия на непостоянной основе</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00200  00022</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280,80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7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13</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00200  00022</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280,80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8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14</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Аппарат представительного органа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00200  00023</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2 250,56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5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15</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00200  00023</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1075,96</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16</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00200  00023</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1169,60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17</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00200  00023</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49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18</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19 649,22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9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Руководство и управление в сфере установленных функций органов местного самоуправления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00200 00000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1 203,67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42"/>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Глава местной администрации</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00200 00031</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1203,67</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8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00200 00031</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1203,67</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1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22</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Местная администрация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00200 00032</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15026,95</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1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23</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00200 00032</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12306,07</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7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24</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00200 00032</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2705,88</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162"/>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25</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00200 00032</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15,00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49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26</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00200  G0850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3412,60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8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27</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G0850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3253,00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6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28</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00200  G0850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159,60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51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09200  G0100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6,00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4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09200  G0100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21"/>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Обеспечение проведения выборов и референдумов</w:t>
            </w:r>
          </w:p>
        </w:tc>
        <w:tc>
          <w:tcPr>
            <w:tcW w:w="154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70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142"/>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32</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Проведение выборов и референдумов</w:t>
            </w:r>
          </w:p>
        </w:tc>
        <w:tc>
          <w:tcPr>
            <w:tcW w:w="154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02000</w:t>
            </w:r>
          </w:p>
        </w:tc>
        <w:tc>
          <w:tcPr>
            <w:tcW w:w="136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4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54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02000 00050</w:t>
            </w:r>
          </w:p>
        </w:tc>
        <w:tc>
          <w:tcPr>
            <w:tcW w:w="136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2140,60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5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34</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0107</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02000 00050</w:t>
            </w:r>
          </w:p>
        </w:tc>
        <w:tc>
          <w:tcPr>
            <w:tcW w:w="1360"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2140,60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35</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Резервные фонды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0111</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36</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Резервный фонд местной администрации </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0111</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07000 00060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37</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0111</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07000 00060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10,00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38</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общегосударственные вопросы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3 305,32  </w:t>
            </w:r>
          </w:p>
        </w:tc>
        <w:tc>
          <w:tcPr>
            <w:tcW w:w="1120" w:type="dxa"/>
            <w:tcBorders>
              <w:top w:val="nil"/>
              <w:left w:val="single" w:sz="4" w:space="0" w:color="auto"/>
              <w:bottom w:val="nil"/>
              <w:right w:val="nil"/>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r>
      <w:tr w:rsidR="00060F9B" w:rsidRPr="00060F9B" w:rsidTr="00060F9B">
        <w:trPr>
          <w:trHeight w:val="25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Формирование архивных фондов органов местного самоуправления, муниципальных предприятий и учреждений</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09000 00070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29,00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40</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09000 00070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29,00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43"/>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09200 00440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72,00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182"/>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42</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09200 00440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72,00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108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33000 00470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1264,32</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44</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33000 00470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1264,32</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85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79500 00520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46</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79500 00520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200,00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63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Создание  и осуществление финансового обеспечения деятельности муниципального казенного учреждения "Муниципальная информационная служба"</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33000 00460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1740,00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6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48</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33000 00460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1730,00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191"/>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Иные бюджетные ассигнования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0113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33000 00460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8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Национальная безопасность и правоохранительная деятельность</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0300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1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0309</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103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содействию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0309</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21900 00080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70,00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52</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0309</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21901 00080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78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53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вопросов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0309</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21900 00090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230,00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54</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0309</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21901 00090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230,00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55</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Национальная экономика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0400</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195,00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56</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Общеэкономические вопросы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0401</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195,00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66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0401</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51000 00100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195,00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58</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0401</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51000 00100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195,00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Жилищно-коммунальное хозяйство</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0500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32122,94</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1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Благоустройство</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0503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32 122,94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61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0503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60000 00130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31 822,94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62</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0503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60000 00130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31 822,94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70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0503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79500 00490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300,00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64</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0503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79500 00490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300,00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65</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Охрана окружающей среды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66</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вопросы в области охраны окружающей среды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0605</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61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0605</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41000 00170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68</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0605</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41000 00170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200,00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6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69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Образование</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565,50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1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Профессиональная подготовка, переподготовка и повышение квалификации</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0705</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95,00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111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71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0705</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42800 00180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95,00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16"/>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72</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0705</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42800 00180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95,00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Молодежная политика и оздоровление детей</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0707</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470,50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61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74</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0707</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43100 00190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470,50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75</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0707</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43100 00190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470,50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76</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Культура, кинематография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20 685,18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Культура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0801</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19 354,38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63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78</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0801</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45000 00200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19 354,38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79</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0801</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45000 00200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19354,38</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Другие вопросы в области  культуры, кинематографии</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1330,80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49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0804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45000 00560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1330,80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64"/>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82</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0804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45000 00560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1330,80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256"/>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Социальная политика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15719,70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84</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Социальное обеспечение населения</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480,50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2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85</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предоставление доплат к пенсии лицам, замещавшим муниципальные должности и должности муниципальной службы</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1003</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50500 00230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480,50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8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86</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Социальное обеспечение и иные выплаты населению населения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1003</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50500 00230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480,50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Охрана семьи и детства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15239,20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54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88</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51100 G0860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10132,10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274"/>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89</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xml:space="preserve">Социальное обеспечение и иные выплаты населению </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51100 G0860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10132,10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52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90</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1004</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51100 G0870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5107,10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3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lastRenderedPageBreak/>
              <w:t>91</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Социальное обеспечение и иные выплаты населению населения</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1004</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51100 G0870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5107,10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3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92</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Физическая культура и спорт</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1100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744,00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93</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Массовый спорт</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1102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744,00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111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94</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Муниципальная программа мероприятий, направленных на решение вопроса местного значения по обеспечению условий для развития на террито</w:t>
            </w:r>
            <w:r>
              <w:rPr>
                <w:b/>
                <w:bCs/>
                <w:color w:val="000000" w:themeColor="text1"/>
                <w:sz w:val="20"/>
                <w:szCs w:val="20"/>
              </w:rPr>
              <w:t xml:space="preserve">рии муниципального образования </w:t>
            </w:r>
            <w:bookmarkStart w:id="1" w:name="_GoBack"/>
            <w:bookmarkEnd w:id="1"/>
            <w:r w:rsidRPr="00060F9B">
              <w:rPr>
                <w:b/>
                <w:bCs/>
                <w:color w:val="000000" w:themeColor="text1"/>
                <w:sz w:val="20"/>
                <w:szCs w:val="20"/>
              </w:rPr>
              <w:t xml:space="preserve">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1102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51200 00240</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744,00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95</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1102</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51200 00240</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744,00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96</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Средства массовой информации</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1200</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97</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Периодическая печать и издательства</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1335"/>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98</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5000,00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99</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Периодические издания, учрежденные представительными органами МО</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45700 00251</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3700,00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100</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1202</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45700 00251</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3700,00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101</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Периодические издания, учрежденные исполнительными органами МО</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1202</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45700 00252</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1300,00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102</w:t>
            </w:r>
          </w:p>
        </w:tc>
        <w:tc>
          <w:tcPr>
            <w:tcW w:w="7165"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Закупка товаров, работ и услуг для государственных (муниципальных) нужд</w:t>
            </w:r>
          </w:p>
        </w:tc>
        <w:tc>
          <w:tcPr>
            <w:tcW w:w="154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1202</w:t>
            </w:r>
          </w:p>
        </w:tc>
        <w:tc>
          <w:tcPr>
            <w:tcW w:w="170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45700 00252</w:t>
            </w:r>
          </w:p>
        </w:tc>
        <w:tc>
          <w:tcPr>
            <w:tcW w:w="1360" w:type="dxa"/>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200</w:t>
            </w:r>
          </w:p>
        </w:tc>
        <w:tc>
          <w:tcPr>
            <w:tcW w:w="1360" w:type="dxa"/>
            <w:tcBorders>
              <w:right w:val="single" w:sz="4" w:space="0" w:color="auto"/>
            </w:tcBorders>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1300,00</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color w:val="000000" w:themeColor="text1"/>
                <w:sz w:val="20"/>
                <w:szCs w:val="20"/>
              </w:rPr>
            </w:pPr>
          </w:p>
        </w:tc>
      </w:tr>
      <w:tr w:rsidR="00060F9B" w:rsidRPr="00060F9B" w:rsidTr="00060F9B">
        <w:trPr>
          <w:trHeight w:val="300"/>
        </w:trPr>
        <w:tc>
          <w:tcPr>
            <w:tcW w:w="598" w:type="dxa"/>
            <w:noWrap/>
            <w:hideMark/>
          </w:tcPr>
          <w:p w:rsidR="00060F9B" w:rsidRPr="00060F9B" w:rsidRDefault="00060F9B" w:rsidP="00060F9B">
            <w:pPr>
              <w:widowControl w:val="0"/>
              <w:autoSpaceDN w:val="0"/>
              <w:jc w:val="both"/>
              <w:textAlignment w:val="baseline"/>
              <w:rPr>
                <w:color w:val="000000" w:themeColor="text1"/>
                <w:sz w:val="20"/>
                <w:szCs w:val="20"/>
              </w:rPr>
            </w:pPr>
            <w:r w:rsidRPr="00060F9B">
              <w:rPr>
                <w:color w:val="000000" w:themeColor="text1"/>
                <w:sz w:val="20"/>
                <w:szCs w:val="20"/>
              </w:rPr>
              <w:t> </w:t>
            </w:r>
          </w:p>
        </w:tc>
        <w:tc>
          <w:tcPr>
            <w:tcW w:w="7165"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                                                      Итого:</w:t>
            </w:r>
          </w:p>
        </w:tc>
        <w:tc>
          <w:tcPr>
            <w:tcW w:w="154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70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w:t>
            </w:r>
          </w:p>
        </w:tc>
        <w:tc>
          <w:tcPr>
            <w:tcW w:w="1360" w:type="dxa"/>
            <w:tcBorders>
              <w:right w:val="single" w:sz="4" w:space="0" w:color="auto"/>
            </w:tcBorders>
            <w:hideMark/>
          </w:tcPr>
          <w:p w:rsidR="00060F9B" w:rsidRPr="00060F9B" w:rsidRDefault="00060F9B" w:rsidP="00060F9B">
            <w:pPr>
              <w:widowControl w:val="0"/>
              <w:autoSpaceDN w:val="0"/>
              <w:jc w:val="both"/>
              <w:textAlignment w:val="baseline"/>
              <w:rPr>
                <w:b/>
                <w:bCs/>
                <w:color w:val="000000" w:themeColor="text1"/>
                <w:sz w:val="20"/>
                <w:szCs w:val="20"/>
              </w:rPr>
            </w:pPr>
            <w:r w:rsidRPr="00060F9B">
              <w:rPr>
                <w:b/>
                <w:bCs/>
                <w:color w:val="000000" w:themeColor="text1"/>
                <w:sz w:val="20"/>
                <w:szCs w:val="20"/>
              </w:rPr>
              <w:t xml:space="preserve">105 413,29  </w:t>
            </w:r>
          </w:p>
        </w:tc>
        <w:tc>
          <w:tcPr>
            <w:tcW w:w="1120" w:type="dxa"/>
            <w:tcBorders>
              <w:top w:val="nil"/>
              <w:left w:val="single" w:sz="4" w:space="0" w:color="auto"/>
              <w:bottom w:val="nil"/>
              <w:right w:val="nil"/>
            </w:tcBorders>
            <w:noWrap/>
            <w:hideMark/>
          </w:tcPr>
          <w:p w:rsidR="00060F9B" w:rsidRPr="00060F9B" w:rsidRDefault="00060F9B" w:rsidP="00060F9B">
            <w:pPr>
              <w:widowControl w:val="0"/>
              <w:autoSpaceDN w:val="0"/>
              <w:jc w:val="both"/>
              <w:textAlignment w:val="baseline"/>
              <w:rPr>
                <w:b/>
                <w:bCs/>
                <w:color w:val="000000" w:themeColor="text1"/>
                <w:sz w:val="20"/>
                <w:szCs w:val="20"/>
              </w:rPr>
            </w:pPr>
          </w:p>
        </w:tc>
      </w:tr>
    </w:tbl>
    <w:p w:rsidR="00ED1765" w:rsidRPr="00BB4651" w:rsidRDefault="00ED1765" w:rsidP="00060F9B">
      <w:pPr>
        <w:widowControl w:val="0"/>
        <w:autoSpaceDN w:val="0"/>
        <w:jc w:val="both"/>
        <w:textAlignment w:val="baseline"/>
        <w:rPr>
          <w:color w:val="000000" w:themeColor="text1"/>
          <w:sz w:val="28"/>
          <w:szCs w:val="28"/>
        </w:rPr>
      </w:pPr>
    </w:p>
    <w:sectPr w:rsidR="00ED1765" w:rsidRPr="00BB4651" w:rsidSect="00060F9B">
      <w:pgSz w:w="16838" w:h="11906" w:orient="landscape"/>
      <w:pgMar w:top="567"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B3" w:rsidRDefault="00AA0AB3" w:rsidP="00B2311B">
      <w:r>
        <w:separator/>
      </w:r>
    </w:p>
  </w:endnote>
  <w:endnote w:type="continuationSeparator" w:id="0">
    <w:p w:rsidR="00AA0AB3" w:rsidRDefault="00AA0AB3" w:rsidP="00B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B3" w:rsidRDefault="00AA0AB3" w:rsidP="00B2311B">
      <w:r>
        <w:separator/>
      </w:r>
    </w:p>
  </w:footnote>
  <w:footnote w:type="continuationSeparator" w:id="0">
    <w:p w:rsidR="00AA0AB3" w:rsidRDefault="00AA0AB3" w:rsidP="00B23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2B537B"/>
    <w:multiLevelType w:val="hybridMultilevel"/>
    <w:tmpl w:val="81A882FE"/>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169FE"/>
    <w:multiLevelType w:val="hybridMultilevel"/>
    <w:tmpl w:val="11E49DFE"/>
    <w:lvl w:ilvl="0" w:tplc="AFD0325A">
      <w:start w:val="1"/>
      <w:numFmt w:val="decimal"/>
      <w:lvlText w:val="%1."/>
      <w:lvlJc w:val="left"/>
      <w:pPr>
        <w:ind w:left="1025" w:hanging="48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15:restartNumberingAfterBreak="0">
    <w:nsid w:val="6D0524B1"/>
    <w:multiLevelType w:val="hybridMultilevel"/>
    <w:tmpl w:val="3C7A7ECA"/>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2"/>
  </w:num>
  <w:num w:numId="6">
    <w:abstractNumId w:val="9"/>
  </w:num>
  <w:num w:numId="7">
    <w:abstractNumId w:val="4"/>
  </w:num>
  <w:num w:numId="8">
    <w:abstractNumId w:val="12"/>
  </w:num>
  <w:num w:numId="9">
    <w:abstractNumId w:val="10"/>
  </w:num>
  <w:num w:numId="10">
    <w:abstractNumId w:val="11"/>
  </w:num>
  <w:num w:numId="11">
    <w:abstractNumId w:val="6"/>
  </w:num>
  <w:num w:numId="12">
    <w:abstractNumId w:val="7"/>
  </w:num>
  <w:num w:numId="13">
    <w:abstractNumId w:val="17"/>
  </w:num>
  <w:num w:numId="14">
    <w:abstractNumId w:val="8"/>
  </w:num>
  <w:num w:numId="15">
    <w:abstractNumId w:val="16"/>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046E7"/>
    <w:rsid w:val="0001235F"/>
    <w:rsid w:val="00030785"/>
    <w:rsid w:val="000351C9"/>
    <w:rsid w:val="00041137"/>
    <w:rsid w:val="00060F9B"/>
    <w:rsid w:val="00076037"/>
    <w:rsid w:val="000760B4"/>
    <w:rsid w:val="00080142"/>
    <w:rsid w:val="000821FD"/>
    <w:rsid w:val="00082EF5"/>
    <w:rsid w:val="000A3C29"/>
    <w:rsid w:val="000E1167"/>
    <w:rsid w:val="000E684A"/>
    <w:rsid w:val="000F5E5C"/>
    <w:rsid w:val="0010389B"/>
    <w:rsid w:val="0010561B"/>
    <w:rsid w:val="001333F0"/>
    <w:rsid w:val="00134CE4"/>
    <w:rsid w:val="001538D3"/>
    <w:rsid w:val="00154554"/>
    <w:rsid w:val="00155B32"/>
    <w:rsid w:val="00171B97"/>
    <w:rsid w:val="00172E78"/>
    <w:rsid w:val="00181D54"/>
    <w:rsid w:val="00196627"/>
    <w:rsid w:val="001A3097"/>
    <w:rsid w:val="001B04D0"/>
    <w:rsid w:val="001C27A7"/>
    <w:rsid w:val="001C2EA4"/>
    <w:rsid w:val="001E59A9"/>
    <w:rsid w:val="00220B54"/>
    <w:rsid w:val="0022391D"/>
    <w:rsid w:val="00253990"/>
    <w:rsid w:val="002775AD"/>
    <w:rsid w:val="0029036E"/>
    <w:rsid w:val="00291FF2"/>
    <w:rsid w:val="002972F6"/>
    <w:rsid w:val="002A3870"/>
    <w:rsid w:val="002D4846"/>
    <w:rsid w:val="002E4D00"/>
    <w:rsid w:val="002F5970"/>
    <w:rsid w:val="00306E98"/>
    <w:rsid w:val="00310E19"/>
    <w:rsid w:val="0031430B"/>
    <w:rsid w:val="00323FA5"/>
    <w:rsid w:val="00326489"/>
    <w:rsid w:val="00332954"/>
    <w:rsid w:val="00347CD3"/>
    <w:rsid w:val="00351211"/>
    <w:rsid w:val="00362F03"/>
    <w:rsid w:val="0036663D"/>
    <w:rsid w:val="003667F1"/>
    <w:rsid w:val="003834C5"/>
    <w:rsid w:val="00396F0F"/>
    <w:rsid w:val="003B08B4"/>
    <w:rsid w:val="003D7242"/>
    <w:rsid w:val="003E5090"/>
    <w:rsid w:val="00414971"/>
    <w:rsid w:val="00417A23"/>
    <w:rsid w:val="00431D0D"/>
    <w:rsid w:val="0044172D"/>
    <w:rsid w:val="004740D4"/>
    <w:rsid w:val="00480795"/>
    <w:rsid w:val="004851E6"/>
    <w:rsid w:val="004857F5"/>
    <w:rsid w:val="0049043B"/>
    <w:rsid w:val="004A4B6C"/>
    <w:rsid w:val="004B4F52"/>
    <w:rsid w:val="004D53D7"/>
    <w:rsid w:val="004D6B62"/>
    <w:rsid w:val="004F1D58"/>
    <w:rsid w:val="004F3367"/>
    <w:rsid w:val="004F5F94"/>
    <w:rsid w:val="00534E79"/>
    <w:rsid w:val="005406BD"/>
    <w:rsid w:val="00542065"/>
    <w:rsid w:val="00547ADF"/>
    <w:rsid w:val="00551A44"/>
    <w:rsid w:val="00552E85"/>
    <w:rsid w:val="00553BC8"/>
    <w:rsid w:val="00555574"/>
    <w:rsid w:val="00575D0E"/>
    <w:rsid w:val="0057702E"/>
    <w:rsid w:val="00580A13"/>
    <w:rsid w:val="0058423E"/>
    <w:rsid w:val="005954EB"/>
    <w:rsid w:val="005A06C1"/>
    <w:rsid w:val="005A66EA"/>
    <w:rsid w:val="005C2B3D"/>
    <w:rsid w:val="005C7A15"/>
    <w:rsid w:val="005D5A31"/>
    <w:rsid w:val="005D734D"/>
    <w:rsid w:val="005F5B49"/>
    <w:rsid w:val="00621249"/>
    <w:rsid w:val="00623445"/>
    <w:rsid w:val="00634312"/>
    <w:rsid w:val="00635CD8"/>
    <w:rsid w:val="006433BD"/>
    <w:rsid w:val="0064477A"/>
    <w:rsid w:val="006710D4"/>
    <w:rsid w:val="00680F3F"/>
    <w:rsid w:val="00687940"/>
    <w:rsid w:val="006B0DBF"/>
    <w:rsid w:val="006C08E9"/>
    <w:rsid w:val="006C2C02"/>
    <w:rsid w:val="006D1EB4"/>
    <w:rsid w:val="006E40E1"/>
    <w:rsid w:val="006F2C9E"/>
    <w:rsid w:val="006F6747"/>
    <w:rsid w:val="00706B04"/>
    <w:rsid w:val="007078CD"/>
    <w:rsid w:val="007151AF"/>
    <w:rsid w:val="00720476"/>
    <w:rsid w:val="00724473"/>
    <w:rsid w:val="007317F6"/>
    <w:rsid w:val="00753C8D"/>
    <w:rsid w:val="007750B6"/>
    <w:rsid w:val="0078095F"/>
    <w:rsid w:val="0078195D"/>
    <w:rsid w:val="007B0254"/>
    <w:rsid w:val="007D4A80"/>
    <w:rsid w:val="00800FFD"/>
    <w:rsid w:val="00801CA3"/>
    <w:rsid w:val="00805656"/>
    <w:rsid w:val="00822636"/>
    <w:rsid w:val="00823C62"/>
    <w:rsid w:val="008425C7"/>
    <w:rsid w:val="00847A64"/>
    <w:rsid w:val="008518D8"/>
    <w:rsid w:val="00856E58"/>
    <w:rsid w:val="008653B3"/>
    <w:rsid w:val="008866B5"/>
    <w:rsid w:val="008B1E11"/>
    <w:rsid w:val="008C1AA6"/>
    <w:rsid w:val="008D57BE"/>
    <w:rsid w:val="008E7A79"/>
    <w:rsid w:val="009331B0"/>
    <w:rsid w:val="00947C9B"/>
    <w:rsid w:val="00984A9B"/>
    <w:rsid w:val="00995AE4"/>
    <w:rsid w:val="009A44DD"/>
    <w:rsid w:val="009A7ECE"/>
    <w:rsid w:val="009B3125"/>
    <w:rsid w:val="009B6557"/>
    <w:rsid w:val="009D5F02"/>
    <w:rsid w:val="009E5D07"/>
    <w:rsid w:val="00A00FC2"/>
    <w:rsid w:val="00A0317F"/>
    <w:rsid w:val="00A16460"/>
    <w:rsid w:val="00A3682C"/>
    <w:rsid w:val="00A436ED"/>
    <w:rsid w:val="00A44E61"/>
    <w:rsid w:val="00A54D92"/>
    <w:rsid w:val="00A5554C"/>
    <w:rsid w:val="00A6278E"/>
    <w:rsid w:val="00A911F9"/>
    <w:rsid w:val="00A92347"/>
    <w:rsid w:val="00AA0AB3"/>
    <w:rsid w:val="00AA0AF2"/>
    <w:rsid w:val="00AB4743"/>
    <w:rsid w:val="00B01AF2"/>
    <w:rsid w:val="00B228ED"/>
    <w:rsid w:val="00B2311B"/>
    <w:rsid w:val="00B32453"/>
    <w:rsid w:val="00B364B9"/>
    <w:rsid w:val="00B60C62"/>
    <w:rsid w:val="00B62071"/>
    <w:rsid w:val="00B678C2"/>
    <w:rsid w:val="00B7541C"/>
    <w:rsid w:val="00B96AC7"/>
    <w:rsid w:val="00BB4651"/>
    <w:rsid w:val="00BE69FD"/>
    <w:rsid w:val="00BF4A81"/>
    <w:rsid w:val="00BF727F"/>
    <w:rsid w:val="00C024D3"/>
    <w:rsid w:val="00C04426"/>
    <w:rsid w:val="00C12327"/>
    <w:rsid w:val="00C22628"/>
    <w:rsid w:val="00C26DCB"/>
    <w:rsid w:val="00C31772"/>
    <w:rsid w:val="00C54BBF"/>
    <w:rsid w:val="00C64796"/>
    <w:rsid w:val="00C73304"/>
    <w:rsid w:val="00C77F9C"/>
    <w:rsid w:val="00C91099"/>
    <w:rsid w:val="00CC5265"/>
    <w:rsid w:val="00CC723C"/>
    <w:rsid w:val="00CD5888"/>
    <w:rsid w:val="00CE55CB"/>
    <w:rsid w:val="00CE7069"/>
    <w:rsid w:val="00D066E5"/>
    <w:rsid w:val="00D11226"/>
    <w:rsid w:val="00D13069"/>
    <w:rsid w:val="00D136B1"/>
    <w:rsid w:val="00D15652"/>
    <w:rsid w:val="00D51D1F"/>
    <w:rsid w:val="00D75E70"/>
    <w:rsid w:val="00DC4D77"/>
    <w:rsid w:val="00DD4095"/>
    <w:rsid w:val="00E06560"/>
    <w:rsid w:val="00E07642"/>
    <w:rsid w:val="00E369DF"/>
    <w:rsid w:val="00E44371"/>
    <w:rsid w:val="00E51F19"/>
    <w:rsid w:val="00E522FA"/>
    <w:rsid w:val="00E87091"/>
    <w:rsid w:val="00EA1FB5"/>
    <w:rsid w:val="00EA315E"/>
    <w:rsid w:val="00EB1EC0"/>
    <w:rsid w:val="00EB654A"/>
    <w:rsid w:val="00ED1765"/>
    <w:rsid w:val="00F07051"/>
    <w:rsid w:val="00F300BB"/>
    <w:rsid w:val="00F40F2E"/>
    <w:rsid w:val="00F410DE"/>
    <w:rsid w:val="00F44F3F"/>
    <w:rsid w:val="00F45DF7"/>
    <w:rsid w:val="00F5565F"/>
    <w:rsid w:val="00F61455"/>
    <w:rsid w:val="00F620B9"/>
    <w:rsid w:val="00F85F07"/>
    <w:rsid w:val="00F91423"/>
    <w:rsid w:val="00FA5670"/>
    <w:rsid w:val="00FA6A22"/>
    <w:rsid w:val="00FB60F2"/>
    <w:rsid w:val="00FC301B"/>
    <w:rsid w:val="00FD4D3D"/>
    <w:rsid w:val="00FE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customStyle="1" w:styleId="a6">
    <w:name w:val="Основной текст_"/>
    <w:link w:val="1"/>
    <w:rsid w:val="00326489"/>
    <w:rPr>
      <w:rFonts w:eastAsia="Times New Roman"/>
      <w:sz w:val="22"/>
      <w:shd w:val="clear" w:color="auto" w:fill="FFFFFF"/>
    </w:rPr>
  </w:style>
  <w:style w:type="character" w:customStyle="1" w:styleId="a7">
    <w:name w:val="Основной текст + Курсив"/>
    <w:rsid w:val="00326489"/>
    <w:rPr>
      <w:rFonts w:eastAsia="Times New Roman"/>
      <w:i/>
      <w:iCs/>
      <w:sz w:val="22"/>
      <w:szCs w:val="22"/>
      <w:shd w:val="clear" w:color="auto" w:fill="FFFFFF"/>
    </w:rPr>
  </w:style>
  <w:style w:type="paragraph" w:customStyle="1" w:styleId="1">
    <w:name w:val="Основной текст1"/>
    <w:basedOn w:val="a"/>
    <w:link w:val="a6"/>
    <w:rsid w:val="00326489"/>
    <w:pPr>
      <w:shd w:val="clear" w:color="auto" w:fill="FFFFFF"/>
      <w:suppressAutoHyphens w:val="0"/>
      <w:spacing w:before="600" w:line="274" w:lineRule="exact"/>
      <w:jc w:val="both"/>
    </w:pPr>
    <w:rPr>
      <w:rFonts w:cstheme="minorBidi"/>
      <w:sz w:val="22"/>
      <w:szCs w:val="22"/>
      <w:lang w:eastAsia="en-US"/>
    </w:rPr>
  </w:style>
  <w:style w:type="paragraph" w:customStyle="1" w:styleId="ConsPlusNormal">
    <w:name w:val="ConsPlusNormal"/>
    <w:rsid w:val="00753C8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2311B"/>
    <w:pPr>
      <w:tabs>
        <w:tab w:val="center" w:pos="4677"/>
        <w:tab w:val="right" w:pos="9355"/>
      </w:tabs>
    </w:pPr>
  </w:style>
  <w:style w:type="character" w:customStyle="1" w:styleId="a9">
    <w:name w:val="Верхний колонтитул Знак"/>
    <w:basedOn w:val="a0"/>
    <w:link w:val="a8"/>
    <w:uiPriority w:val="99"/>
    <w:rsid w:val="00B2311B"/>
    <w:rPr>
      <w:rFonts w:eastAsia="Times New Roman" w:cs="Times New Roman"/>
      <w:sz w:val="24"/>
      <w:szCs w:val="24"/>
      <w:lang w:eastAsia="ar-SA"/>
    </w:rPr>
  </w:style>
  <w:style w:type="paragraph" w:styleId="aa">
    <w:name w:val="footer"/>
    <w:basedOn w:val="a"/>
    <w:link w:val="ab"/>
    <w:uiPriority w:val="99"/>
    <w:unhideWhenUsed/>
    <w:rsid w:val="00B2311B"/>
    <w:pPr>
      <w:tabs>
        <w:tab w:val="center" w:pos="4677"/>
        <w:tab w:val="right" w:pos="9355"/>
      </w:tabs>
    </w:pPr>
  </w:style>
  <w:style w:type="character" w:customStyle="1" w:styleId="ab">
    <w:name w:val="Нижний колонтитул Знак"/>
    <w:basedOn w:val="a0"/>
    <w:link w:val="aa"/>
    <w:uiPriority w:val="99"/>
    <w:rsid w:val="00B2311B"/>
    <w:rPr>
      <w:rFonts w:eastAsia="Times New Roman" w:cs="Times New Roman"/>
      <w:sz w:val="24"/>
      <w:szCs w:val="24"/>
      <w:lang w:eastAsia="ar-SA"/>
    </w:rPr>
  </w:style>
  <w:style w:type="paragraph" w:styleId="ac">
    <w:name w:val="No Spacing"/>
    <w:qFormat/>
    <w:rsid w:val="0058423E"/>
    <w:pPr>
      <w:spacing w:after="0" w:line="240" w:lineRule="auto"/>
    </w:pPr>
    <w:rPr>
      <w:rFonts w:ascii="Calibri" w:eastAsia="Calibri" w:hAnsi="Calibri" w:cs="Times New Roman"/>
      <w:sz w:val="22"/>
    </w:rPr>
  </w:style>
  <w:style w:type="character" w:styleId="ad">
    <w:name w:val="Hyperlink"/>
    <w:basedOn w:val="a0"/>
    <w:uiPriority w:val="99"/>
    <w:semiHidden/>
    <w:unhideWhenUsed/>
    <w:rsid w:val="00060F9B"/>
    <w:rPr>
      <w:color w:val="0000FF"/>
      <w:u w:val="single"/>
    </w:rPr>
  </w:style>
  <w:style w:type="character" w:styleId="ae">
    <w:name w:val="FollowedHyperlink"/>
    <w:basedOn w:val="a0"/>
    <w:uiPriority w:val="99"/>
    <w:semiHidden/>
    <w:unhideWhenUsed/>
    <w:rsid w:val="00060F9B"/>
    <w:rPr>
      <w:color w:val="800080"/>
      <w:u w:val="single"/>
    </w:rPr>
  </w:style>
  <w:style w:type="paragraph" w:customStyle="1" w:styleId="xl65">
    <w:name w:val="xl65"/>
    <w:basedOn w:val="a"/>
    <w:rsid w:val="00060F9B"/>
    <w:pPr>
      <w:suppressAutoHyphens w:val="0"/>
      <w:spacing w:before="100" w:beforeAutospacing="1" w:after="100" w:afterAutospacing="1"/>
    </w:pPr>
    <w:rPr>
      <w:rFonts w:ascii="Arial" w:hAnsi="Arial" w:cs="Arial"/>
      <w:lang w:eastAsia="ru-RU"/>
    </w:rPr>
  </w:style>
  <w:style w:type="paragraph" w:customStyle="1" w:styleId="xl66">
    <w:name w:val="xl66"/>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67">
    <w:name w:val="xl67"/>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68">
    <w:name w:val="xl68"/>
    <w:basedOn w:val="a"/>
    <w:rsid w:val="00060F9B"/>
    <w:pPr>
      <w:suppressAutoHyphens w:val="0"/>
      <w:spacing w:before="100" w:beforeAutospacing="1" w:after="100" w:afterAutospacing="1"/>
    </w:pPr>
    <w:rPr>
      <w:lang w:eastAsia="ru-RU"/>
    </w:rPr>
  </w:style>
  <w:style w:type="paragraph" w:customStyle="1" w:styleId="xl69">
    <w:name w:val="xl69"/>
    <w:basedOn w:val="a"/>
    <w:rsid w:val="00060F9B"/>
    <w:pPr>
      <w:suppressAutoHyphens w:val="0"/>
      <w:spacing w:before="100" w:beforeAutospacing="1" w:after="100" w:afterAutospacing="1"/>
      <w:textAlignment w:val="center"/>
    </w:pPr>
    <w:rPr>
      <w:lang w:eastAsia="ru-RU"/>
    </w:rPr>
  </w:style>
  <w:style w:type="paragraph" w:customStyle="1" w:styleId="xl70">
    <w:name w:val="xl70"/>
    <w:basedOn w:val="a"/>
    <w:rsid w:val="00060F9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1">
    <w:name w:val="xl71"/>
    <w:basedOn w:val="a"/>
    <w:rsid w:val="00060F9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2">
    <w:name w:val="xl72"/>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3">
    <w:name w:val="xl73"/>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74">
    <w:name w:val="xl74"/>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75">
    <w:name w:val="xl75"/>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76">
    <w:name w:val="xl76"/>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77">
    <w:name w:val="xl77"/>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b/>
      <w:bCs/>
      <w:lang w:eastAsia="ru-RU"/>
    </w:rPr>
  </w:style>
  <w:style w:type="paragraph" w:customStyle="1" w:styleId="xl78">
    <w:name w:val="xl78"/>
    <w:basedOn w:val="a"/>
    <w:rsid w:val="00060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79">
    <w:name w:val="xl79"/>
    <w:basedOn w:val="a"/>
    <w:rsid w:val="00060F9B"/>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0">
    <w:name w:val="xl80"/>
    <w:basedOn w:val="a"/>
    <w:rsid w:val="00060F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81">
    <w:name w:val="xl81"/>
    <w:basedOn w:val="a"/>
    <w:rsid w:val="00060F9B"/>
    <w:pPr>
      <w:pBdr>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2">
    <w:name w:val="xl82"/>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3">
    <w:name w:val="xl83"/>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84">
    <w:name w:val="xl84"/>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85">
    <w:name w:val="xl85"/>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86">
    <w:name w:val="xl86"/>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87">
    <w:name w:val="xl87"/>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lang w:eastAsia="ru-RU"/>
    </w:rPr>
  </w:style>
  <w:style w:type="paragraph" w:customStyle="1" w:styleId="xl88">
    <w:name w:val="xl88"/>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sz w:val="22"/>
      <w:szCs w:val="22"/>
      <w:lang w:eastAsia="ru-RU"/>
    </w:rPr>
  </w:style>
  <w:style w:type="paragraph" w:customStyle="1" w:styleId="xl89">
    <w:name w:val="xl89"/>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lang w:eastAsia="ru-RU"/>
    </w:rPr>
  </w:style>
  <w:style w:type="paragraph" w:customStyle="1" w:styleId="xl90">
    <w:name w:val="xl90"/>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91">
    <w:name w:val="xl91"/>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92">
    <w:name w:val="xl92"/>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sz w:val="22"/>
      <w:szCs w:val="22"/>
      <w:lang w:eastAsia="ru-RU"/>
    </w:rPr>
  </w:style>
  <w:style w:type="paragraph" w:customStyle="1" w:styleId="xl93">
    <w:name w:val="xl93"/>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94">
    <w:name w:val="xl94"/>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lang w:eastAsia="ru-RU"/>
    </w:rPr>
  </w:style>
  <w:style w:type="paragraph" w:customStyle="1" w:styleId="xl95">
    <w:name w:val="xl95"/>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b/>
      <w:bCs/>
      <w:lang w:eastAsia="ru-RU"/>
    </w:rPr>
  </w:style>
  <w:style w:type="paragraph" w:customStyle="1" w:styleId="xl96">
    <w:name w:val="xl96"/>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b/>
      <w:bCs/>
      <w:lang w:eastAsia="ru-RU"/>
    </w:rPr>
  </w:style>
  <w:style w:type="paragraph" w:customStyle="1" w:styleId="xl97">
    <w:name w:val="xl97"/>
    <w:basedOn w:val="a"/>
    <w:rsid w:val="00060F9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98">
    <w:name w:val="xl98"/>
    <w:basedOn w:val="a"/>
    <w:rsid w:val="00060F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9">
    <w:name w:val="xl99"/>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00">
    <w:name w:val="xl100"/>
    <w:basedOn w:val="a"/>
    <w:rsid w:val="00060F9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01">
    <w:name w:val="xl101"/>
    <w:basedOn w:val="a"/>
    <w:rsid w:val="00060F9B"/>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102">
    <w:name w:val="xl102"/>
    <w:basedOn w:val="a"/>
    <w:rsid w:val="00060F9B"/>
    <w:pPr>
      <w:suppressAutoHyphens w:val="0"/>
      <w:spacing w:before="100" w:beforeAutospacing="1" w:after="100" w:afterAutospacing="1"/>
      <w:jc w:val="center"/>
    </w:pPr>
    <w:rPr>
      <w:rFonts w:ascii="Arial" w:hAnsi="Arial" w:cs="Arial"/>
      <w:color w:val="FF0000"/>
      <w:lang w:eastAsia="ru-RU"/>
    </w:rPr>
  </w:style>
  <w:style w:type="paragraph" w:customStyle="1" w:styleId="xl104">
    <w:name w:val="xl104"/>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105">
    <w:name w:val="xl105"/>
    <w:basedOn w:val="a"/>
    <w:rsid w:val="00060F9B"/>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06">
    <w:name w:val="xl106"/>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CYR" w:hAnsi="Arial CYR" w:cs="Arial CYR"/>
      <w:b/>
      <w:bCs/>
      <w:lang w:eastAsia="ru-RU"/>
    </w:rPr>
  </w:style>
  <w:style w:type="paragraph" w:customStyle="1" w:styleId="xl107">
    <w:name w:val="xl107"/>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CYR" w:hAnsi="Arial CYR" w:cs="Arial CYR"/>
      <w:lang w:eastAsia="ru-RU"/>
    </w:rPr>
  </w:style>
  <w:style w:type="paragraph" w:customStyle="1" w:styleId="xl108">
    <w:name w:val="xl108"/>
    <w:basedOn w:val="a"/>
    <w:rsid w:val="00060F9B"/>
    <w:pPr>
      <w:pBdr>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09">
    <w:name w:val="xl109"/>
    <w:basedOn w:val="a"/>
    <w:rsid w:val="00060F9B"/>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10">
    <w:name w:val="xl110"/>
    <w:basedOn w:val="a"/>
    <w:rsid w:val="00060F9B"/>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111">
    <w:name w:val="xl111"/>
    <w:basedOn w:val="a"/>
    <w:rsid w:val="00060F9B"/>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22"/>
      <w:szCs w:val="22"/>
      <w:lang w:eastAsia="ru-RU"/>
    </w:rPr>
  </w:style>
  <w:style w:type="paragraph" w:customStyle="1" w:styleId="xl112">
    <w:name w:val="xl112"/>
    <w:basedOn w:val="a"/>
    <w:rsid w:val="00060F9B"/>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3">
    <w:name w:val="xl113"/>
    <w:basedOn w:val="a"/>
    <w:rsid w:val="00060F9B"/>
    <w:pPr>
      <w:pBdr>
        <w:top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4">
    <w:name w:val="xl114"/>
    <w:basedOn w:val="a"/>
    <w:rsid w:val="00060F9B"/>
    <w:pPr>
      <w:pBdr>
        <w:bottom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5">
    <w:name w:val="xl115"/>
    <w:basedOn w:val="a"/>
    <w:rsid w:val="00060F9B"/>
    <w:pPr>
      <w:pBdr>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6">
    <w:name w:val="xl116"/>
    <w:basedOn w:val="a"/>
    <w:rsid w:val="00060F9B"/>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117">
    <w:name w:val="xl117"/>
    <w:basedOn w:val="a"/>
    <w:rsid w:val="00060F9B"/>
    <w:pPr>
      <w:pBdr>
        <w:top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118">
    <w:name w:val="xl118"/>
    <w:basedOn w:val="a"/>
    <w:rsid w:val="00060F9B"/>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19">
    <w:name w:val="xl119"/>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120">
    <w:name w:val="xl120"/>
    <w:basedOn w:val="a"/>
    <w:rsid w:val="00060F9B"/>
    <w:pPr>
      <w:pBdr>
        <w:top w:val="single" w:sz="4"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121">
    <w:name w:val="xl121"/>
    <w:basedOn w:val="a"/>
    <w:rsid w:val="00060F9B"/>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22">
    <w:name w:val="xl122"/>
    <w:basedOn w:val="a"/>
    <w:rsid w:val="00060F9B"/>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23">
    <w:name w:val="xl123"/>
    <w:basedOn w:val="a"/>
    <w:rsid w:val="00060F9B"/>
    <w:pPr>
      <w:pBdr>
        <w:top w:val="single" w:sz="4" w:space="0" w:color="auto"/>
        <w:lef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24">
    <w:name w:val="xl124"/>
    <w:basedOn w:val="a"/>
    <w:rsid w:val="00060F9B"/>
    <w:pPr>
      <w:pBdr>
        <w:top w:val="single" w:sz="4" w:space="0" w:color="auto"/>
        <w:left w:val="single" w:sz="8" w:space="0" w:color="auto"/>
        <w:right w:val="single" w:sz="8" w:space="0" w:color="auto"/>
      </w:pBdr>
      <w:suppressAutoHyphens w:val="0"/>
      <w:spacing w:before="100" w:beforeAutospacing="1" w:after="100" w:afterAutospacing="1"/>
      <w:jc w:val="right"/>
    </w:pPr>
    <w:rPr>
      <w:rFonts w:ascii="Arial CYR" w:hAnsi="Arial CYR" w:cs="Arial CYR"/>
      <w:lang w:eastAsia="ru-RU"/>
    </w:rPr>
  </w:style>
  <w:style w:type="paragraph" w:customStyle="1" w:styleId="xl125">
    <w:name w:val="xl125"/>
    <w:basedOn w:val="a"/>
    <w:rsid w:val="00060F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6">
    <w:name w:val="xl126"/>
    <w:basedOn w:val="a"/>
    <w:rsid w:val="00060F9B"/>
    <w:pPr>
      <w:pBdr>
        <w:top w:val="single" w:sz="8" w:space="0" w:color="auto"/>
        <w:bottom w:val="single" w:sz="8"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27">
    <w:name w:val="xl127"/>
    <w:basedOn w:val="a"/>
    <w:rsid w:val="00060F9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b/>
      <w:bCs/>
      <w:sz w:val="22"/>
      <w:szCs w:val="22"/>
      <w:lang w:eastAsia="ru-RU"/>
    </w:rPr>
  </w:style>
  <w:style w:type="paragraph" w:customStyle="1" w:styleId="xl128">
    <w:name w:val="xl128"/>
    <w:basedOn w:val="a"/>
    <w:rsid w:val="00060F9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29">
    <w:name w:val="xl129"/>
    <w:basedOn w:val="a"/>
    <w:rsid w:val="00060F9B"/>
    <w:pPr>
      <w:pBdr>
        <w:top w:val="single" w:sz="8" w:space="0" w:color="auto"/>
        <w:left w:val="single" w:sz="4" w:space="0" w:color="auto"/>
        <w:bottom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130">
    <w:name w:val="xl130"/>
    <w:basedOn w:val="a"/>
    <w:rsid w:val="00060F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131">
    <w:name w:val="xl131"/>
    <w:basedOn w:val="a"/>
    <w:rsid w:val="00060F9B"/>
    <w:pPr>
      <w:suppressAutoHyphens w:val="0"/>
      <w:spacing w:before="100" w:beforeAutospacing="1" w:after="100" w:afterAutospacing="1"/>
      <w:textAlignment w:val="center"/>
    </w:pPr>
    <w:rPr>
      <w:rFonts w:ascii="Arial" w:hAnsi="Arial" w:cs="Arial"/>
      <w:lang w:eastAsia="ru-RU"/>
    </w:rPr>
  </w:style>
  <w:style w:type="paragraph" w:customStyle="1" w:styleId="xl132">
    <w:name w:val="xl132"/>
    <w:basedOn w:val="a"/>
    <w:rsid w:val="00060F9B"/>
    <w:pPr>
      <w:suppressAutoHyphens w:val="0"/>
      <w:spacing w:before="100" w:beforeAutospacing="1" w:after="100" w:afterAutospacing="1"/>
      <w:jc w:val="right"/>
    </w:pPr>
    <w:rPr>
      <w:rFonts w:ascii="Arial" w:hAnsi="Arial" w:cs="Arial"/>
      <w:lang w:eastAsia="ru-RU"/>
    </w:rPr>
  </w:style>
  <w:style w:type="paragraph" w:customStyle="1" w:styleId="xl133">
    <w:name w:val="xl133"/>
    <w:basedOn w:val="a"/>
    <w:rsid w:val="00060F9B"/>
    <w:pPr>
      <w:suppressAutoHyphens w:val="0"/>
      <w:spacing w:before="100" w:beforeAutospacing="1" w:after="100" w:afterAutospacing="1"/>
      <w:jc w:val="right"/>
    </w:pPr>
    <w:rPr>
      <w:lang w:eastAsia="ru-RU"/>
    </w:rPr>
  </w:style>
  <w:style w:type="paragraph" w:customStyle="1" w:styleId="xl134">
    <w:name w:val="xl134"/>
    <w:basedOn w:val="a"/>
    <w:rsid w:val="00060F9B"/>
    <w:pPr>
      <w:suppressAutoHyphens w:val="0"/>
      <w:spacing w:before="100" w:beforeAutospacing="1" w:after="100" w:afterAutospacing="1"/>
      <w:jc w:val="right"/>
    </w:pPr>
    <w:rPr>
      <w:lang w:eastAsia="ru-RU"/>
    </w:rPr>
  </w:style>
  <w:style w:type="paragraph" w:customStyle="1" w:styleId="xl135">
    <w:name w:val="xl135"/>
    <w:basedOn w:val="a"/>
    <w:rsid w:val="00060F9B"/>
    <w:pPr>
      <w:suppressAutoHyphens w:val="0"/>
      <w:spacing w:before="100" w:beforeAutospacing="1" w:after="100" w:afterAutospacing="1"/>
      <w:jc w:val="center"/>
    </w:pPr>
    <w:rPr>
      <w:rFonts w:ascii="Arial" w:hAnsi="Arial" w:cs="Arial"/>
      <w:b/>
      <w:bCs/>
      <w:lang w:eastAsia="ru-RU"/>
    </w:rPr>
  </w:style>
  <w:style w:type="table" w:styleId="af">
    <w:name w:val="Table Grid"/>
    <w:basedOn w:val="a1"/>
    <w:uiPriority w:val="59"/>
    <w:rsid w:val="0006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3">
    <w:name w:val="xl103"/>
    <w:basedOn w:val="a"/>
    <w:rsid w:val="00060F9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136">
    <w:name w:val="xl136"/>
    <w:basedOn w:val="a"/>
    <w:rsid w:val="00060F9B"/>
    <w:pPr>
      <w:suppressAutoHyphens w:val="0"/>
      <w:spacing w:before="100" w:beforeAutospacing="1" w:after="100" w:afterAutospacing="1"/>
      <w:jc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8210">
      <w:bodyDiv w:val="1"/>
      <w:marLeft w:val="0"/>
      <w:marRight w:val="0"/>
      <w:marTop w:val="0"/>
      <w:marBottom w:val="0"/>
      <w:divBdr>
        <w:top w:val="none" w:sz="0" w:space="0" w:color="auto"/>
        <w:left w:val="none" w:sz="0" w:space="0" w:color="auto"/>
        <w:bottom w:val="none" w:sz="0" w:space="0" w:color="auto"/>
        <w:right w:val="none" w:sz="0" w:space="0" w:color="auto"/>
      </w:divBdr>
    </w:div>
    <w:div w:id="804355374">
      <w:bodyDiv w:val="1"/>
      <w:marLeft w:val="0"/>
      <w:marRight w:val="0"/>
      <w:marTop w:val="0"/>
      <w:marBottom w:val="0"/>
      <w:divBdr>
        <w:top w:val="none" w:sz="0" w:space="0" w:color="auto"/>
        <w:left w:val="none" w:sz="0" w:space="0" w:color="auto"/>
        <w:bottom w:val="none" w:sz="0" w:space="0" w:color="auto"/>
        <w:right w:val="none" w:sz="0" w:space="0" w:color="auto"/>
      </w:divBdr>
    </w:div>
    <w:div w:id="14691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FCB-8B09-4767-A83D-EBD463BA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149</cp:revision>
  <cp:lastPrinted>2016-11-14T08:57:00Z</cp:lastPrinted>
  <dcterms:created xsi:type="dcterms:W3CDTF">2014-11-21T06:57:00Z</dcterms:created>
  <dcterms:modified xsi:type="dcterms:W3CDTF">2016-11-16T08:13:00Z</dcterms:modified>
</cp:coreProperties>
</file>